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C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EC2AC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EC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C2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C2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8453A" w:rsidRPr="007A6700" w:rsidRDefault="007A6700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7A6700">
        <w:rPr>
          <w:rFonts w:ascii="Times New Roman" w:hAnsi="Times New Roman" w:cs="Times New Roman"/>
          <w:sz w:val="28"/>
          <w:szCs w:val="28"/>
        </w:rPr>
        <w:t>о</w:t>
      </w:r>
      <w:r w:rsidRPr="007A6700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891CFA" w:rsidRPr="007A6700" w:rsidRDefault="00A628A9" w:rsidP="007A670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вательных программ одаренных обучающихся и обучающихся с ограниче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ными возможностями здоровья и трудностями в обучении, вопросы индив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7A6700">
        <w:rPr>
          <w:rFonts w:ascii="Times New Roman" w:eastAsia="Calibri" w:hAnsi="Times New Roman" w:cs="Times New Roman"/>
          <w:iCs/>
          <w:sz w:val="28"/>
          <w:szCs w:val="28"/>
        </w:rPr>
        <w:t>дуализации обучения</w:t>
      </w:r>
      <w:r w:rsidRPr="007A6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разрабатывать и применять современные психолого-педагогические технологии, основанные на знании законов развития личности и поведения.</w:t>
      </w: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A6700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технологиями, основанными на знании законов развития личности и поведения.</w:t>
      </w:r>
    </w:p>
    <w:p w:rsidR="0058453A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00">
        <w:rPr>
          <w:rFonts w:ascii="Times New Roman" w:hAnsi="Times New Roman" w:cs="Times New Roman"/>
          <w:sz w:val="28"/>
          <w:szCs w:val="28"/>
        </w:rPr>
        <w:t>ОПК-3 готовность к психолого-педагогическому сопровождению учебно-воспитательного процесса</w:t>
      </w:r>
      <w:r w:rsidR="0058453A" w:rsidRPr="007A6700">
        <w:rPr>
          <w:rFonts w:ascii="Times New Roman" w:hAnsi="Times New Roman" w:cs="Times New Roman"/>
          <w:sz w:val="28"/>
          <w:szCs w:val="28"/>
        </w:rPr>
        <w:t>.</w:t>
      </w:r>
    </w:p>
    <w:p w:rsidR="0058453A" w:rsidRPr="007A6700" w:rsidRDefault="0058453A" w:rsidP="007A670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A67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67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осуществлять анализ учебного материала при реализации учебных пр</w:t>
      </w:r>
      <w:r w:rsidRPr="007A6700">
        <w:rPr>
          <w:rFonts w:ascii="Times New Roman" w:eastAsia="Calibri" w:hAnsi="Times New Roman" w:cs="Times New Roman"/>
          <w:sz w:val="28"/>
          <w:szCs w:val="28"/>
        </w:rPr>
        <w:t>о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</w:t>
      </w:r>
      <w:r w:rsidRPr="007A6700">
        <w:rPr>
          <w:rFonts w:ascii="Times New Roman" w:eastAsia="Calibri" w:hAnsi="Times New Roman" w:cs="Times New Roman"/>
          <w:sz w:val="28"/>
          <w:szCs w:val="28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7A6700">
        <w:rPr>
          <w:rFonts w:ascii="Times New Roman" w:eastAsia="Calibri" w:hAnsi="Times New Roman" w:cs="Times New Roman"/>
          <w:spacing w:val="-1"/>
          <w:sz w:val="28"/>
          <w:szCs w:val="28"/>
        </w:rPr>
        <w:t>курсов.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</w:rPr>
        <w:t>способами и технологиями диагностирования достижений обучающихся и воспитанников в учебном и воспитательном процессе; современными (а</w:t>
      </w:r>
      <w:r w:rsidRPr="007A6700">
        <w:rPr>
          <w:rFonts w:eastAsia="Calibri"/>
          <w:color w:val="auto"/>
          <w:sz w:val="28"/>
          <w:szCs w:val="28"/>
        </w:rPr>
        <w:t>в</w:t>
      </w:r>
      <w:r w:rsidRPr="007A6700">
        <w:rPr>
          <w:rFonts w:eastAsia="Calibri"/>
          <w:color w:val="auto"/>
          <w:sz w:val="28"/>
          <w:szCs w:val="28"/>
        </w:rPr>
        <w:t>торскими) формами организации педагогического сопровождения учебно-воспитательного процесса.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7A6700" w:rsidRPr="007A6700" w:rsidRDefault="007A6700" w:rsidP="007A6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7A670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A6700" w:rsidRPr="007A6700" w:rsidRDefault="007A6700" w:rsidP="007A670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70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7A6700" w:rsidRP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7A6700">
        <w:rPr>
          <w:rFonts w:eastAsia="Calibri"/>
          <w:color w:val="auto"/>
          <w:sz w:val="28"/>
          <w:szCs w:val="28"/>
          <w:lang w:eastAsia="ru-RU"/>
        </w:rPr>
        <w:lastRenderedPageBreak/>
        <w:t xml:space="preserve">методами планирования </w:t>
      </w:r>
      <w:r w:rsidRPr="007A670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7A6700">
        <w:rPr>
          <w:rFonts w:eastAsia="Calibri"/>
          <w:color w:val="auto"/>
          <w:sz w:val="28"/>
          <w:szCs w:val="28"/>
        </w:rPr>
        <w:t>д</w:t>
      </w:r>
      <w:r w:rsidRPr="007A670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7A6700" w:rsidRDefault="007A6700" w:rsidP="007A670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2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C2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C2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C2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анализирует языковые и правовые явления, используя различные источники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3518F5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. Внутренняя логика всего изложения проекта слабая. Нет критического осмысления прочитанного, как и собственного мнения. Нет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F5" w:rsidRDefault="003518F5" w:rsidP="00817BE6">
      <w:pPr>
        <w:spacing w:after="0" w:line="240" w:lineRule="auto"/>
      </w:pPr>
      <w:r>
        <w:separator/>
      </w:r>
    </w:p>
  </w:endnote>
  <w:endnote w:type="continuationSeparator" w:id="0">
    <w:p w:rsidR="003518F5" w:rsidRDefault="003518F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F5" w:rsidRDefault="003518F5" w:rsidP="00817BE6">
      <w:pPr>
        <w:spacing w:after="0" w:line="240" w:lineRule="auto"/>
      </w:pPr>
      <w:r>
        <w:separator/>
      </w:r>
    </w:p>
  </w:footnote>
  <w:footnote w:type="continuationSeparator" w:id="0">
    <w:p w:rsidR="003518F5" w:rsidRDefault="003518F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18F5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3AE1-F400-4488-8AAF-72F0AC09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2019-10-24T17:38:00Z</dcterms:modified>
</cp:coreProperties>
</file>