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bookmarkStart w:id="0" w:name="_GoBack"/>
      <w:bookmarkEnd w:id="0"/>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D5B3F" w:rsidRPr="00AD4FB0" w:rsidRDefault="00E641DE"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w:t>
      </w:r>
      <w:r w:rsidR="001D5B3F" w:rsidRPr="002536A9">
        <w:rPr>
          <w:rFonts w:ascii="Times New Roman" w:eastAsia="Arial Unicode MS" w:hAnsi="Times New Roman" w:cs="Times New Roman"/>
          <w:i/>
          <w:sz w:val="28"/>
          <w:szCs w:val="24"/>
          <w:u w:val="single"/>
          <w:lang w:eastAsia="ru-RU"/>
        </w:rPr>
        <w:t>чная</w:t>
      </w:r>
      <w:r>
        <w:rPr>
          <w:rFonts w:ascii="Times New Roman" w:eastAsia="Arial Unicode MS" w:hAnsi="Times New Roman" w:cs="Times New Roman"/>
          <w:i/>
          <w:sz w:val="28"/>
          <w:szCs w:val="24"/>
          <w:u w:val="single"/>
          <w:lang w:eastAsia="ru-RU"/>
        </w:rPr>
        <w:t xml:space="preserve"> </w:t>
      </w:r>
      <w:r w:rsidR="001D5B3F" w:rsidRPr="00AD4FB0">
        <w:rPr>
          <w:rFonts w:ascii="Times New Roman" w:eastAsia="Arial Unicode MS" w:hAnsi="Times New Roman" w:cs="Times New Roman"/>
          <w:i/>
          <w:sz w:val="24"/>
          <w:szCs w:val="24"/>
          <w:u w:val="single"/>
          <w:lang w:eastAsia="ru-RU"/>
        </w:rPr>
        <w:t xml:space="preserve"> </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641DE">
        <w:rPr>
          <w:rFonts w:ascii="Times New Roman" w:eastAsia="Arial Unicode MS" w:hAnsi="Times New Roman" w:cs="Times New Roman"/>
          <w:sz w:val="28"/>
          <w:szCs w:val="24"/>
          <w:lang w:eastAsia="ru-RU"/>
        </w:rPr>
        <w:t>2018</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641DE">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872944" w:rsidTr="006168EA">
        <w:trPr>
          <w:tblHeader/>
        </w:trPr>
        <w:tc>
          <w:tcPr>
            <w:tcW w:w="3595" w:type="dxa"/>
            <w:shd w:val="clear" w:color="auto" w:fill="auto"/>
            <w:vAlign w:val="center"/>
          </w:tcPr>
          <w:p w:rsidR="006168EA" w:rsidRPr="0087294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87294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168EA" w:rsidRDefault="006168EA">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872944" w:rsidTr="006168EA">
        <w:trPr>
          <w:trHeight w:val="4440"/>
        </w:trPr>
        <w:tc>
          <w:tcPr>
            <w:tcW w:w="3595" w:type="dxa"/>
            <w:vMerge w:val="restart"/>
            <w:shd w:val="clear" w:color="auto" w:fill="auto"/>
          </w:tcPr>
          <w:p w:rsidR="006168EA" w:rsidRPr="00872944" w:rsidRDefault="006168EA" w:rsidP="00563073">
            <w:pPr>
              <w:suppressAutoHyphens/>
              <w:spacing w:after="0" w:line="240" w:lineRule="auto"/>
              <w:jc w:val="both"/>
              <w:rPr>
                <w:rFonts w:ascii="Times New Roman" w:hAnsi="Times New Roman" w:cs="Times New Roman"/>
                <w:sz w:val="24"/>
                <w:szCs w:val="24"/>
              </w:rPr>
            </w:pPr>
            <w:r w:rsidRPr="007E7C33">
              <w:rPr>
                <w:rFonts w:ascii="Times New Roman" w:hAnsi="Times New Roman" w:cs="Times New Roman"/>
                <w:sz w:val="24"/>
                <w:szCs w:val="24"/>
              </w:rPr>
              <w:t>ОПК-</w:t>
            </w:r>
            <w:r>
              <w:rPr>
                <w:rFonts w:ascii="Times New Roman" w:hAnsi="Times New Roman" w:cs="Times New Roman"/>
                <w:sz w:val="24"/>
                <w:szCs w:val="24"/>
              </w:rPr>
              <w:t>5</w:t>
            </w:r>
            <w:r w:rsidRPr="007E7C33">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63073">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Знать:</w:t>
            </w:r>
          </w:p>
          <w:p w:rsidR="006168EA" w:rsidRPr="001D5B3F" w:rsidRDefault="006168EA" w:rsidP="006168EA">
            <w:pPr>
              <w:pStyle w:val="ReportMain"/>
              <w:rPr>
                <w:szCs w:val="24"/>
              </w:rPr>
            </w:pPr>
            <w:r w:rsidRPr="001D5B3F">
              <w:rPr>
                <w:szCs w:val="24"/>
              </w:rPr>
              <w:t>- процессы и явления, происходящие в неживой и живой природе;</w:t>
            </w:r>
          </w:p>
          <w:p w:rsidR="006168EA" w:rsidRPr="001D5B3F" w:rsidRDefault="006168EA" w:rsidP="006168EA">
            <w:pPr>
              <w:pStyle w:val="ReportMain"/>
              <w:rPr>
                <w:szCs w:val="24"/>
              </w:rPr>
            </w:pPr>
            <w:r w:rsidRPr="001D5B3F">
              <w:rPr>
                <w:szCs w:val="24"/>
              </w:rPr>
              <w:t>- возможности современных научных методов познания природы;</w:t>
            </w:r>
          </w:p>
          <w:p w:rsidR="006168EA" w:rsidRPr="001D5B3F" w:rsidRDefault="006168EA" w:rsidP="006168EA">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о процесс</w:t>
            </w:r>
            <w:r w:rsidRPr="001D5B3F">
              <w:rPr>
                <w:rFonts w:ascii="Times New Roman" w:eastAsia="Calibri" w:hAnsi="Times New Roman" w:cs="Times New Roman"/>
                <w:sz w:val="24"/>
                <w:szCs w:val="24"/>
              </w:rPr>
              <w:t>ах и явлениях, происходящих в организме человека и животных при протекании биохимических процессов</w:t>
            </w:r>
            <w:r w:rsidRPr="001D5B3F">
              <w:rPr>
                <w:rFonts w:ascii="Times New Roman" w:hAnsi="Times New Roman" w:cs="Times New Roman"/>
                <w:sz w:val="24"/>
                <w:szCs w:val="24"/>
              </w:rPr>
              <w:t xml:space="preserve">, </w:t>
            </w:r>
          </w:p>
          <w:p w:rsidR="006168EA" w:rsidRPr="001D5B3F" w:rsidRDefault="006168EA" w:rsidP="006168EA">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xml:space="preserve">- понимать возможности современных научных методов познания </w:t>
            </w:r>
            <w:r w:rsidRPr="001D5B3F">
              <w:rPr>
                <w:rFonts w:ascii="Times New Roman" w:eastAsia="Calibri" w:hAnsi="Times New Roman" w:cs="Times New Roman"/>
                <w:sz w:val="24"/>
                <w:szCs w:val="24"/>
              </w:rPr>
              <w:t xml:space="preserve">биохимических реакций </w:t>
            </w:r>
            <w:r w:rsidRPr="001D5B3F">
              <w:rPr>
                <w:rFonts w:ascii="Times New Roman" w:hAnsi="Times New Roman" w:cs="Times New Roman"/>
                <w:sz w:val="24"/>
                <w:szCs w:val="24"/>
              </w:rPr>
              <w:t xml:space="preserve">и владеть ими на уровне, необходимом для решения задач, имеющих </w:t>
            </w:r>
            <w:r w:rsidRPr="001D5B3F">
              <w:rPr>
                <w:rFonts w:ascii="Times New Roman" w:eastAsia="Calibri" w:hAnsi="Times New Roman" w:cs="Times New Roman"/>
                <w:sz w:val="24"/>
                <w:szCs w:val="24"/>
              </w:rPr>
              <w:t>биохимическую и молекулярно-биологическую направленность</w:t>
            </w:r>
            <w:r w:rsidRPr="001D5B3F">
              <w:rPr>
                <w:rFonts w:ascii="Times New Roman" w:hAnsi="Times New Roman" w:cs="Times New Roman"/>
                <w:sz w:val="24"/>
                <w:szCs w:val="24"/>
              </w:rPr>
              <w:t>;</w:t>
            </w:r>
          </w:p>
          <w:p w:rsidR="006168EA" w:rsidRPr="001D5B3F" w:rsidRDefault="006168EA" w:rsidP="006168EA">
            <w:pPr>
              <w:pStyle w:val="ReportMain"/>
              <w:suppressAutoHyphens/>
              <w:rPr>
                <w:szCs w:val="24"/>
              </w:rPr>
            </w:pPr>
            <w:r w:rsidRPr="001D5B3F">
              <w:rPr>
                <w:szCs w:val="24"/>
              </w:rPr>
              <w:t>- алгоритм решения задач, имеющих естественнонаучное содержание и возникающих при выполнении профессиональных функций.</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168EA" w:rsidRDefault="006168E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168EA" w:rsidRDefault="006168E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168EA" w:rsidRDefault="006168EA">
            <w:pPr>
              <w:suppressAutoHyphens/>
              <w:spacing w:after="0" w:line="240" w:lineRule="auto"/>
              <w:jc w:val="both"/>
              <w:rPr>
                <w:rFonts w:ascii="Times New Roman" w:eastAsia="Times New Roman" w:hAnsi="Times New Roman" w:cs="Times New Roman"/>
                <w:sz w:val="24"/>
                <w:szCs w:val="24"/>
              </w:rPr>
            </w:pPr>
          </w:p>
        </w:tc>
      </w:tr>
      <w:tr w:rsidR="006168EA" w:rsidRPr="00872944" w:rsidTr="006168EA">
        <w:trPr>
          <w:trHeight w:val="3270"/>
        </w:trPr>
        <w:tc>
          <w:tcPr>
            <w:tcW w:w="3595" w:type="dxa"/>
            <w:vMerge/>
            <w:shd w:val="clear" w:color="auto" w:fill="auto"/>
          </w:tcPr>
          <w:p w:rsidR="006168EA" w:rsidRPr="007E7C33"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Уметь:</w:t>
            </w:r>
          </w:p>
          <w:p w:rsidR="006168EA" w:rsidRPr="001D5B3F" w:rsidRDefault="006168EA" w:rsidP="006168EA">
            <w:pPr>
              <w:pStyle w:val="ReportMain"/>
              <w:rPr>
                <w:szCs w:val="24"/>
              </w:rPr>
            </w:pPr>
            <w:r w:rsidRPr="001D5B3F">
              <w:rPr>
                <w:szCs w:val="24"/>
              </w:rPr>
              <w:t xml:space="preserve">проводить качественные реакции на различные классы соединений; </w:t>
            </w:r>
          </w:p>
          <w:p w:rsidR="006168EA" w:rsidRPr="001D5B3F" w:rsidRDefault="006168EA" w:rsidP="006168EA">
            <w:pPr>
              <w:pStyle w:val="ReportMain"/>
              <w:rPr>
                <w:szCs w:val="24"/>
              </w:rPr>
            </w:pPr>
            <w:r w:rsidRPr="001D5B3F">
              <w:rPr>
                <w:szCs w:val="24"/>
              </w:rPr>
              <w:t>- выбирать методы выделения, очистки  и идентификации соединений;</w:t>
            </w:r>
          </w:p>
          <w:p w:rsidR="006168EA" w:rsidRPr="001D5B3F" w:rsidRDefault="006168EA" w:rsidP="006168EA">
            <w:pPr>
              <w:pStyle w:val="ReportMain"/>
              <w:rPr>
                <w:b/>
                <w:szCs w:val="24"/>
                <w:u w:val="single"/>
              </w:rPr>
            </w:pPr>
            <w:r w:rsidRPr="001D5B3F">
              <w:rPr>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6168EA" w:rsidRPr="001D5B3F" w:rsidRDefault="006168EA" w:rsidP="006168EA">
            <w:pPr>
              <w:pStyle w:val="ReportMain"/>
              <w:rPr>
                <w:b/>
                <w:szCs w:val="24"/>
                <w:u w:val="single"/>
              </w:rPr>
            </w:pPr>
            <w:r w:rsidRPr="001D5B3F">
              <w:rPr>
                <w:szCs w:val="24"/>
              </w:rPr>
              <w:t xml:space="preserve"> - интерпретировать результаты лабораторных исследований. </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168EA" w:rsidRDefault="006168E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6168EA" w:rsidRDefault="006168EA">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168EA" w:rsidRDefault="006168EA">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6168EA" w:rsidRPr="00872944" w:rsidTr="006168EA">
        <w:trPr>
          <w:trHeight w:val="1392"/>
        </w:trPr>
        <w:tc>
          <w:tcPr>
            <w:tcW w:w="3595" w:type="dxa"/>
            <w:vMerge/>
            <w:shd w:val="clear" w:color="auto" w:fill="auto"/>
          </w:tcPr>
          <w:p w:rsidR="006168EA" w:rsidRPr="007E7C33"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6168EA" w:rsidRPr="001D5B3F" w:rsidRDefault="006168EA" w:rsidP="006168EA">
            <w:pPr>
              <w:pStyle w:val="ReportMain"/>
              <w:suppressAutoHyphens/>
              <w:rPr>
                <w:szCs w:val="24"/>
              </w:rPr>
            </w:pPr>
            <w:r w:rsidRPr="001D5B3F">
              <w:rPr>
                <w:b/>
                <w:szCs w:val="24"/>
                <w:u w:val="single"/>
              </w:rPr>
              <w:t>Владеть:</w:t>
            </w:r>
          </w:p>
          <w:p w:rsidR="006168EA" w:rsidRPr="001D5B3F" w:rsidRDefault="006168EA" w:rsidP="006168EA">
            <w:pPr>
              <w:pStyle w:val="ReportMain"/>
              <w:suppressAutoHyphens/>
              <w:rPr>
                <w:b/>
                <w:szCs w:val="24"/>
                <w:u w:val="single"/>
              </w:rPr>
            </w:pPr>
            <w:r w:rsidRPr="001D5B3F">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Default="006168E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комплексные практические  задания</w:t>
            </w:r>
            <w:r w:rsidR="00206457">
              <w:rPr>
                <w:rFonts w:ascii="Times New Roman" w:eastAsia="Times New Roman" w:hAnsi="Times New Roman" w:cs="Times New Roman"/>
                <w:sz w:val="24"/>
                <w:szCs w:val="24"/>
                <w:lang w:eastAsia="ru-RU"/>
              </w:rPr>
              <w:t>;</w:t>
            </w:r>
          </w:p>
          <w:p w:rsidR="006168EA" w:rsidRDefault="0020645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6457">
              <w:rPr>
                <w:rFonts w:ascii="Times New Roman" w:eastAsia="Times New Roman" w:hAnsi="Times New Roman" w:cs="Times New Roman"/>
                <w:sz w:val="24"/>
                <w:szCs w:val="24"/>
                <w:lang w:eastAsia="ru-RU"/>
              </w:rPr>
              <w:t>задачи для самоконтроля</w:t>
            </w:r>
            <w:r w:rsidR="00980B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6168EA"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курсовая работа</w:t>
            </w:r>
          </w:p>
          <w:p w:rsidR="006168EA" w:rsidRDefault="006168E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68EA" w:rsidRDefault="006168EA">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w:t>
      </w:r>
      <w:proofErr w:type="spellStart"/>
      <w:r w:rsidRPr="00D20460">
        <w:rPr>
          <w:rFonts w:ascii="Times New Roman" w:hAnsi="Times New Roman" w:cs="Times New Roman"/>
          <w:sz w:val="28"/>
          <w:szCs w:val="28"/>
        </w:rPr>
        <w:t>Na</w:t>
      </w:r>
      <w:proofErr w:type="spellEnd"/>
      <w:r w:rsidRPr="00D20460">
        <w:rPr>
          <w:rFonts w:ascii="Times New Roman" w:hAnsi="Times New Roman" w:cs="Times New Roman"/>
          <w:sz w:val="28"/>
          <w:szCs w:val="28"/>
        </w:rPr>
        <w:t>.</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proofErr w:type="spellStart"/>
      <w:r w:rsidRPr="001F2B8E">
        <w:rPr>
          <w:rFonts w:ascii="Times New Roman" w:eastAsia="Times New Roman" w:hAnsi="Times New Roman" w:cs="Times New Roman"/>
          <w:sz w:val="28"/>
          <w:szCs w:val="28"/>
        </w:rPr>
        <w:t>каталитческих</w:t>
      </w:r>
      <w:proofErr w:type="spellEnd"/>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w:t>
      </w:r>
      <w:proofErr w:type="spellStart"/>
      <w:r w:rsidRPr="001F2B8E">
        <w:rPr>
          <w:rFonts w:ascii="Times New Roman" w:eastAsia="Times New Roman" w:hAnsi="Times New Roman" w:cs="Times New Roman"/>
          <w:sz w:val="28"/>
          <w:szCs w:val="28"/>
        </w:rPr>
        <w:t>простетическую</w:t>
      </w:r>
      <w:proofErr w:type="spellEnd"/>
      <w:r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w:t>
      </w:r>
      <w:proofErr w:type="spellStart"/>
      <w:r w:rsidR="001F2B8E" w:rsidRPr="001F2B8E">
        <w:rPr>
          <w:rFonts w:ascii="Times New Roman" w:eastAsia="Times New Roman" w:hAnsi="Times New Roman" w:cs="Times New Roman"/>
          <w:sz w:val="28"/>
          <w:szCs w:val="28"/>
        </w:rPr>
        <w:t>простетическую</w:t>
      </w:r>
      <w:proofErr w:type="spellEnd"/>
      <w:r w:rsidR="001F2B8E"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аминокислот;              г) </w:t>
      </w:r>
      <w:proofErr w:type="spellStart"/>
      <w:r w:rsidRPr="00843184">
        <w:rPr>
          <w:rFonts w:ascii="Times New Roman" w:eastAsia="Times New Roman" w:hAnsi="Times New Roman" w:cs="Times New Roman"/>
          <w:sz w:val="28"/>
          <w:szCs w:val="28"/>
        </w:rPr>
        <w:t>аминоспиртов</w:t>
      </w:r>
      <w:proofErr w:type="spellEnd"/>
      <w:r w:rsidRPr="00843184">
        <w:rPr>
          <w:rFonts w:ascii="Times New Roman" w:eastAsia="Times New Roman" w:hAnsi="Times New Roman" w:cs="Times New Roman"/>
          <w:sz w:val="28"/>
          <w:szCs w:val="28"/>
        </w:rPr>
        <w:t>.</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w:t>
      </w:r>
      <w:proofErr w:type="spellStart"/>
      <w:r w:rsidRPr="00843184">
        <w:rPr>
          <w:rFonts w:ascii="Times New Roman" w:eastAsia="Times New Roman" w:hAnsi="Times New Roman" w:cs="Times New Roman"/>
          <w:sz w:val="28"/>
          <w:szCs w:val="28"/>
        </w:rPr>
        <w:t>цитозину</w:t>
      </w:r>
      <w:proofErr w:type="spellEnd"/>
      <w:r w:rsidRPr="00843184">
        <w:rPr>
          <w:rFonts w:ascii="Times New Roman" w:eastAsia="Times New Roman" w:hAnsi="Times New Roman" w:cs="Times New Roman"/>
          <w:sz w:val="28"/>
          <w:szCs w:val="28"/>
        </w:rPr>
        <w:t xml:space="preserve">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75pt" o:ole="">
            <v:imagedata r:id="rId10" o:title=""/>
          </v:shape>
          <o:OLEObject Type="Embed" ProgID="ChemWindow.Document" ShapeID="_x0000_i1025" DrawAspect="Content" ObjectID="_1635658548"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25pt;height:73.5pt" o:ole="">
            <v:imagedata r:id="rId12" o:title=""/>
          </v:shape>
          <o:OLEObject Type="Embed" ProgID="ChemWindow.Document" ShapeID="_x0000_i1026" DrawAspect="Content" ObjectID="_1635658549"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25pt;height:79.5pt" o:ole="">
            <v:imagedata r:id="rId14" o:title=""/>
          </v:shape>
          <o:OLEObject Type="Embed" ProgID="ChemWindow.Document" ShapeID="_x0000_i1027" DrawAspect="Content" ObjectID="_1635658550"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6" o:title=""/>
          </v:shape>
          <o:OLEObject Type="Embed" ProgID="ChemWindow.Document" ShapeID="_x0000_i1028" DrawAspect="Content" ObjectID="_1635658551"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8" o:title=""/>
          </v:shape>
          <o:OLEObject Type="Embed" ProgID="ChemWindow.Document" ShapeID="_x0000_i1029" DrawAspect="Content" ObjectID="_1635658552"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25pt;height:73.5pt" o:ole="">
            <v:imagedata r:id="rId12" o:title=""/>
          </v:shape>
          <o:OLEObject Type="Embed" ProgID="ChemWindow.Document" ShapeID="_x0000_i1030" DrawAspect="Content" ObjectID="_1635658553"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25pt;height:79.5pt" o:ole="">
            <v:imagedata r:id="rId14" o:title=""/>
          </v:shape>
          <o:OLEObject Type="Embed" ProgID="ChemWindow.Document" ShapeID="_x0000_i1031" DrawAspect="Content" ObjectID="_1635658554"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75pt" o:ole="">
            <v:imagedata r:id="rId10" o:title=""/>
          </v:shape>
          <o:OLEObject Type="Embed" ProgID="ChemWindow.Document" ShapeID="_x0000_i1032" DrawAspect="Content" ObjectID="_1635658555"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5pt;height:79.5pt" o:ole="">
            <v:imagedata r:id="rId23" o:title=""/>
          </v:shape>
          <o:OLEObject Type="Embed" ProgID="ChemWindow.Document" ShapeID="_x0000_i1033" DrawAspect="Content" ObjectID="_1635658556"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25pt;height:73.5pt" o:ole="">
            <v:imagedata r:id="rId12" o:title=""/>
          </v:shape>
          <o:OLEObject Type="Embed" ProgID="ChemWindow.Document" ShapeID="_x0000_i1034" DrawAspect="Content" ObjectID="_1635658557"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25pt;height:79.5pt" o:ole="">
            <v:imagedata r:id="rId14" o:title=""/>
          </v:shape>
          <o:OLEObject Type="Embed" ProgID="ChemWindow.Document" ShapeID="_x0000_i1035" DrawAspect="Content" ObjectID="_1635658558"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75pt" o:ole="">
            <v:imagedata r:id="rId10" o:title=""/>
          </v:shape>
          <o:OLEObject Type="Embed" ProgID="ChemWindow.Document" ShapeID="_x0000_i1036" DrawAspect="Content" ObjectID="_1635658559"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8" o:title=""/>
          </v:shape>
          <o:OLEObject Type="Embed" ProgID="ChemWindow.Document" ShapeID="_x0000_i1037" DrawAspect="Content" ObjectID="_1635658560"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25pt;height:73.5pt" o:ole="">
            <v:imagedata r:id="rId12" o:title=""/>
          </v:shape>
          <o:OLEObject Type="Embed" ProgID="ChemWindow.Document" ShapeID="_x0000_i1038" DrawAspect="Content" ObjectID="_1635658561"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25pt;height:79.5pt" o:ole="">
            <v:imagedata r:id="rId14" o:title=""/>
          </v:shape>
          <o:OLEObject Type="Embed" ProgID="ChemWindow.Document" ShapeID="_x0000_i1039" DrawAspect="Content" ObjectID="_1635658562"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75pt" o:ole="">
            <v:imagedata r:id="rId10" o:title=""/>
          </v:shape>
          <o:OLEObject Type="Embed" ProgID="ChemWindow.Document" ShapeID="_x0000_i1040" DrawAspect="Content" ObjectID="_1635658563"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8" o:title=""/>
          </v:shape>
          <o:OLEObject Type="Embed" ProgID="ChemWindow.Document" ShapeID="_x0000_i1041" DrawAspect="Content" ObjectID="_1635658564"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25pt;height:73.5pt" o:ole="">
            <v:imagedata r:id="rId12" o:title=""/>
          </v:shape>
          <o:OLEObject Type="Embed" ProgID="ChemWindow.Document" ShapeID="_x0000_i1042" DrawAspect="Content" ObjectID="_1635658565"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25pt;height:79.5pt" o:ole="">
            <v:imagedata r:id="rId14" o:title=""/>
          </v:shape>
          <o:OLEObject Type="Embed" ProgID="ChemWindow.Document" ShapeID="_x0000_i1043" DrawAspect="Content" ObjectID="_1635658566"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75pt" o:ole="">
            <v:imagedata r:id="rId10" o:title=""/>
          </v:shape>
          <o:OLEObject Type="Embed" ProgID="ChemWindow.Document" ShapeID="_x0000_i1044" DrawAspect="Content" ObjectID="_1635658567"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8" o:title=""/>
          </v:shape>
          <o:OLEObject Type="Embed" ProgID="ChemWindow.Document" ShapeID="_x0000_i1045" DrawAspect="Content" ObjectID="_1635658568"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25pt;height:73.5pt" o:ole="">
            <v:imagedata r:id="rId12" o:title=""/>
          </v:shape>
          <o:OLEObject Type="Embed" ProgID="ChemWindow.Document" ShapeID="_x0000_i1046" DrawAspect="Content" ObjectID="_1635658569"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25pt;height:79.5pt" o:ole="">
            <v:imagedata r:id="rId14" o:title=""/>
          </v:shape>
          <o:OLEObject Type="Embed" ProgID="ChemWindow.Document" ShapeID="_x0000_i1047" DrawAspect="Content" ObjectID="_1635658570"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75pt" o:ole="">
            <v:imagedata r:id="rId10" o:title=""/>
          </v:shape>
          <o:OLEObject Type="Embed" ProgID="ChemWindow.Document" ShapeID="_x0000_i1048" DrawAspect="Content" ObjectID="_1635658571"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Default="006168EA"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168EA" w:rsidRDefault="006168EA"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6168EA" w:rsidRPr="000169F0" w:rsidRDefault="006168EA"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4.75pt" o:ole="">
            <v:imagedata r:id="rId10" o:title=""/>
          </v:shape>
          <o:OLEObject Type="Embed" ProgID="ChemWindow.Document" ShapeID="_x0000_i1049" DrawAspect="Content" ObjectID="_1635658572"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25pt;height:73.5pt" o:ole="">
            <v:imagedata r:id="rId12" o:title=""/>
          </v:shape>
          <o:OLEObject Type="Embed" ProgID="ChemWindow.Document" ShapeID="_x0000_i1050" DrawAspect="Content" ObjectID="_1635658573"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25pt;height:79.5pt" o:ole="">
            <v:imagedata r:id="rId14" o:title=""/>
          </v:shape>
          <o:OLEObject Type="Embed" ProgID="ChemWindow.Document" ShapeID="_x0000_i1051" DrawAspect="Content" ObjectID="_1635658574"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6" o:title=""/>
          </v:shape>
          <o:OLEObject Type="Embed" ProgID="ChemWindow.Document" ShapeID="_x0000_i1052" DrawAspect="Content" ObjectID="_1635658575"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8" o:title=""/>
          </v:shape>
          <o:OLEObject Type="Embed" ProgID="ChemWindow.Document" ShapeID="_x0000_i1053" DrawAspect="Content" ObjectID="_1635658576"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25pt;height:73.5pt" o:ole="">
            <v:imagedata r:id="rId12" o:title=""/>
          </v:shape>
          <o:OLEObject Type="Embed" ProgID="ChemWindow.Document" ShapeID="_x0000_i1054" DrawAspect="Content" ObjectID="_1635658577"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25pt;height:79.5pt" o:ole="">
            <v:imagedata r:id="rId14" o:title=""/>
          </v:shape>
          <o:OLEObject Type="Embed" ProgID="ChemWindow.Document" ShapeID="_x0000_i1055" DrawAspect="Content" ObjectID="_1635658578"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75pt" o:ole="">
            <v:imagedata r:id="rId10" o:title=""/>
          </v:shape>
          <o:OLEObject Type="Embed" ProgID="ChemWindow.Document" ShapeID="_x0000_i1056" DrawAspect="Content" ObjectID="_1635658579"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5pt;height:79.5pt" o:ole="">
            <v:imagedata r:id="rId23" o:title=""/>
          </v:shape>
          <o:OLEObject Type="Embed" ProgID="ChemWindow.Document" ShapeID="_x0000_i1057" DrawAspect="Content" ObjectID="_1635658580"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25pt;height:73.5pt" o:ole="">
            <v:imagedata r:id="rId12" o:title=""/>
          </v:shape>
          <o:OLEObject Type="Embed" ProgID="ChemWindow.Document" ShapeID="_x0000_i1058" DrawAspect="Content" ObjectID="_1635658581"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25pt;height:79.5pt" o:ole="">
            <v:imagedata r:id="rId14" o:title=""/>
          </v:shape>
          <o:OLEObject Type="Embed" ProgID="ChemWindow.Document" ShapeID="_x0000_i1059" DrawAspect="Content" ObjectID="_1635658582"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75pt" o:ole="">
            <v:imagedata r:id="rId10" o:title=""/>
          </v:shape>
          <o:OLEObject Type="Embed" ProgID="ChemWindow.Document" ShapeID="_x0000_i1060" DrawAspect="Content" ObjectID="_1635658583"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8" o:title=""/>
          </v:shape>
          <o:OLEObject Type="Embed" ProgID="ChemWindow.Document" ShapeID="_x0000_i1061" DrawAspect="Content" ObjectID="_1635658584"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25pt;height:73.5pt" o:ole="">
            <v:imagedata r:id="rId12" o:title=""/>
          </v:shape>
          <o:OLEObject Type="Embed" ProgID="ChemWindow.Document" ShapeID="_x0000_i1062" DrawAspect="Content" ObjectID="_1635658585"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25pt;height:79.5pt" o:ole="">
            <v:imagedata r:id="rId14" o:title=""/>
          </v:shape>
          <o:OLEObject Type="Embed" ProgID="ChemWindow.Document" ShapeID="_x0000_i1063" DrawAspect="Content" ObjectID="_1635658586"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75pt" o:ole="">
            <v:imagedata r:id="rId10" o:title=""/>
          </v:shape>
          <o:OLEObject Type="Embed" ProgID="ChemWindow.Document" ShapeID="_x0000_i1064" DrawAspect="Content" ObjectID="_1635658587"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8" o:title=""/>
          </v:shape>
          <o:OLEObject Type="Embed" ProgID="ChemWindow.Document" ShapeID="_x0000_i1065" DrawAspect="Content" ObjectID="_1635658588"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25pt;height:73.5pt" o:ole="">
            <v:imagedata r:id="rId12" o:title=""/>
          </v:shape>
          <o:OLEObject Type="Embed" ProgID="ChemWindow.Document" ShapeID="_x0000_i1066" DrawAspect="Content" ObjectID="_1635658589"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25pt;height:79.5pt" o:ole="">
            <v:imagedata r:id="rId14" o:title=""/>
          </v:shape>
          <o:OLEObject Type="Embed" ProgID="ChemWindow.Document" ShapeID="_x0000_i1067" DrawAspect="Content" ObjectID="_1635658590"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75pt" o:ole="">
            <v:imagedata r:id="rId10" o:title=""/>
          </v:shape>
          <o:OLEObject Type="Embed" ProgID="ChemWindow.Document" ShapeID="_x0000_i1068" DrawAspect="Content" ObjectID="_1635658591"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8" o:title=""/>
          </v:shape>
          <o:OLEObject Type="Embed" ProgID="ChemWindow.Document" ShapeID="_x0000_i1069" DrawAspect="Content" ObjectID="_1635658592"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25pt;height:73.5pt" o:ole="">
            <v:imagedata r:id="rId12" o:title=""/>
          </v:shape>
          <o:OLEObject Type="Embed" ProgID="ChemWindow.Document" ShapeID="_x0000_i1070" DrawAspect="Content" ObjectID="_1635658593"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25pt;height:79.5pt" o:ole="">
            <v:imagedata r:id="rId14" o:title=""/>
          </v:shape>
          <o:OLEObject Type="Embed" ProgID="ChemWindow.Document" ShapeID="_x0000_i1071" DrawAspect="Content" ObjectID="_1635658594"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75pt" o:ole="">
            <v:imagedata r:id="rId10" o:title=""/>
          </v:shape>
          <o:OLEObject Type="Embed" ProgID="ChemWindow.Document" ShapeID="_x0000_i1072" DrawAspect="Content" ObjectID="_1635658595"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25pt;height:177.75pt" o:ole="">
            <v:imagedata r:id="rId88" o:title=""/>
          </v:shape>
          <o:OLEObject Type="Embed" ProgID="ACD.ChemSketch.20" ShapeID="_x0000_i1073" DrawAspect="Content" ObjectID="_1635658596" r:id="rId8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25pt;height:152.25pt" o:ole="">
            <v:imagedata r:id="rId90" o:title=""/>
          </v:shape>
          <o:OLEObject Type="Embed" ProgID="ACD.ChemSketch.20" ShapeID="_x0000_i1074" DrawAspect="Content" ObjectID="_1635658597" r:id="rId91"/>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6pt" o:ole="">
            <v:imagedata r:id="rId92" o:title=""/>
          </v:shape>
          <o:OLEObject Type="Embed" ProgID="ACD.ChemSketch.20" ShapeID="_x0000_i1075" DrawAspect="Content" ObjectID="_1635658598" r:id="rId93"/>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4" o:title=""/>
          </v:shape>
          <o:OLEObject Type="Embed" ProgID="ACD.ChemSketch.20" ShapeID="_x0000_i1076" DrawAspect="Content" ObjectID="_1635658599" r:id="rId95"/>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5pt;height:179.25pt" o:ole="">
            <v:imagedata r:id="rId96" o:title=""/>
          </v:shape>
          <o:OLEObject Type="Embed" ProgID="ACD.ChemSketch.20" ShapeID="_x0000_i1077" DrawAspect="Content" ObjectID="_1635658600" r:id="rId97"/>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8" o:title=""/>
          </v:shape>
          <o:OLEObject Type="Embed" ProgID="ACD.ChemSketch.20" ShapeID="_x0000_i1078" DrawAspect="Content" ObjectID="_1635658601" r:id="rId9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5"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64E59" w:rsidTr="00864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864E59" w:rsidTr="00864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864E59" w:rsidRDefault="00864E5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64E59" w:rsidRDefault="00864E59">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4E59" w:rsidRDefault="00864E59" w:rsidP="001C302A">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4E59" w:rsidRDefault="00864E59" w:rsidP="001C302A">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4E59" w:rsidRDefault="00864E59">
            <w:pPr>
              <w:suppressAutoHyphens/>
              <w:spacing w:after="0" w:line="240" w:lineRule="auto"/>
              <w:jc w:val="both"/>
              <w:rPr>
                <w:rFonts w:ascii="Times New Roman" w:eastAsia="Calibri" w:hAnsi="Times New Roman" w:cs="Times New Roman"/>
                <w:sz w:val="24"/>
                <w:szCs w:val="24"/>
              </w:rPr>
            </w:pPr>
          </w:p>
        </w:tc>
      </w:tr>
      <w:tr w:rsidR="00864E59" w:rsidTr="00864E59">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E59" w:rsidRDefault="00864E5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4E59" w:rsidRDefault="00864E59" w:rsidP="00864E59">
      <w:pPr>
        <w:spacing w:after="0" w:line="24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591FB4" w:rsidRDefault="00591FB4" w:rsidP="00864E59">
      <w:pPr>
        <w:spacing w:after="0" w:line="360" w:lineRule="auto"/>
        <w:ind w:firstLine="709"/>
        <w:rPr>
          <w:rFonts w:ascii="Times New Roman" w:hAnsi="Times New Roman" w:cs="Times New Roman"/>
          <w:b/>
          <w:sz w:val="28"/>
          <w:szCs w:val="28"/>
          <w:lang w:bidi="ru-RU"/>
        </w:rPr>
      </w:pPr>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lastRenderedPageBreak/>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591FB4" w:rsidRPr="00115407" w:rsidRDefault="00591FB4" w:rsidP="00591FB4">
      <w:pPr>
        <w:spacing w:after="0" w:line="240" w:lineRule="auto"/>
        <w:rPr>
          <w:rFonts w:ascii="Times New Roman" w:eastAsia="Times New Roman" w:hAnsi="Times New Roman" w:cs="Times New Roman"/>
          <w:b/>
          <w:sz w:val="28"/>
          <w:szCs w:val="28"/>
        </w:rPr>
      </w:pPr>
      <w:r w:rsidRPr="00115407">
        <w:rPr>
          <w:rFonts w:ascii="Times New Roman" w:eastAsia="Times New Roman" w:hAnsi="Times New Roman" w:cs="Times New Roman"/>
          <w:b/>
          <w:sz w:val="28"/>
          <w:szCs w:val="28"/>
        </w:rPr>
        <w:lastRenderedPageBreak/>
        <w:t>Оценивание исследования в рамках курсовых работ</w:t>
      </w:r>
    </w:p>
    <w:p w:rsidR="00591FB4" w:rsidRPr="00115407" w:rsidRDefault="00591FB4" w:rsidP="00591FB4">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591FB4" w:rsidRPr="00115407" w:rsidTr="008626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91FB4" w:rsidRPr="00115407" w:rsidRDefault="00591FB4" w:rsidP="008626CC">
            <w:pPr>
              <w:widowControl w:val="0"/>
              <w:spacing w:after="0" w:line="240" w:lineRule="auto"/>
              <w:jc w:val="center"/>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Критерии</w:t>
            </w:r>
          </w:p>
        </w:tc>
      </w:tr>
      <w:tr w:rsidR="00591FB4" w:rsidRPr="00115407" w:rsidTr="008626CC">
        <w:trPr>
          <w:trHeight w:val="1704"/>
        </w:trPr>
        <w:tc>
          <w:tcPr>
            <w:tcW w:w="959" w:type="pct"/>
            <w:tcBorders>
              <w:top w:val="single" w:sz="4" w:space="0" w:color="auto"/>
              <w:left w:val="single" w:sz="4" w:space="0" w:color="auto"/>
              <w:bottom w:val="nil"/>
              <w:right w:val="nil"/>
            </w:tcBorders>
            <w:shd w:val="clear" w:color="auto" w:fill="FFFFFF"/>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Отлично</w:t>
            </w:r>
          </w:p>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91FB4" w:rsidRPr="00115407" w:rsidRDefault="00591FB4" w:rsidP="008626CC">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591FB4" w:rsidRPr="00115407" w:rsidRDefault="00591FB4" w:rsidP="00591FB4">
            <w:pPr>
              <w:widowControl w:val="0"/>
              <w:numPr>
                <w:ilvl w:val="0"/>
                <w:numId w:val="14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91FB4" w:rsidRPr="00115407" w:rsidRDefault="00591FB4" w:rsidP="00591FB4">
            <w:pPr>
              <w:widowControl w:val="0"/>
              <w:numPr>
                <w:ilvl w:val="0"/>
                <w:numId w:val="14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91FB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91FB4" w:rsidRPr="00115407" w:rsidRDefault="00591FB4" w:rsidP="00591FB4">
            <w:pPr>
              <w:widowControl w:val="0"/>
              <w:numPr>
                <w:ilvl w:val="0"/>
                <w:numId w:val="14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Научность подхода к решению;</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Владение терминологией;</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Оригинальность замысла;</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Уровень новизны;</w:t>
            </w:r>
          </w:p>
          <w:p w:rsidR="00591FB4" w:rsidRPr="00115407" w:rsidRDefault="00591FB4" w:rsidP="00591FB4">
            <w:pPr>
              <w:widowControl w:val="0"/>
              <w:numPr>
                <w:ilvl w:val="0"/>
                <w:numId w:val="14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115407">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591FB4" w:rsidRPr="00115407" w:rsidTr="008626CC">
        <w:trPr>
          <w:trHeight w:val="2770"/>
        </w:trPr>
        <w:tc>
          <w:tcPr>
            <w:tcW w:w="959" w:type="pct"/>
            <w:tcBorders>
              <w:top w:val="single" w:sz="4" w:space="0" w:color="auto"/>
              <w:left w:val="single" w:sz="4" w:space="0" w:color="auto"/>
              <w:bottom w:val="single" w:sz="4" w:space="0" w:color="auto"/>
              <w:right w:val="nil"/>
            </w:tcBorders>
            <w:shd w:val="clear" w:color="auto" w:fill="FFFFFF"/>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Хорошо</w:t>
            </w:r>
          </w:p>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11540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591FB4" w:rsidRPr="00115407" w:rsidTr="008626CC">
        <w:trPr>
          <w:trHeight w:val="1939"/>
        </w:trPr>
        <w:tc>
          <w:tcPr>
            <w:tcW w:w="959" w:type="pct"/>
            <w:tcBorders>
              <w:top w:val="single" w:sz="4" w:space="0" w:color="auto"/>
              <w:left w:val="single" w:sz="4" w:space="0" w:color="auto"/>
              <w:bottom w:val="nil"/>
              <w:right w:val="nil"/>
            </w:tcBorders>
            <w:shd w:val="clear" w:color="auto" w:fill="FFFFFF"/>
            <w:hideMark/>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11540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591FB4" w:rsidRPr="00115407" w:rsidTr="008626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91FB4" w:rsidRPr="00115407" w:rsidRDefault="00591FB4" w:rsidP="008626CC">
            <w:pPr>
              <w:widowControl w:val="0"/>
              <w:spacing w:after="0" w:line="240" w:lineRule="auto"/>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sz w:val="24"/>
                <w:szCs w:val="24"/>
                <w:lang w:eastAsia="ru-RU" w:bidi="ru-RU"/>
              </w:rPr>
              <w:t>Неудовлетвори</w:t>
            </w:r>
            <w:r w:rsidRPr="00115407">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591FB4" w:rsidRPr="00115407" w:rsidRDefault="00591FB4" w:rsidP="008626CC">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91FB4" w:rsidRPr="00115407" w:rsidRDefault="00591FB4" w:rsidP="008626CC">
            <w:pPr>
              <w:widowControl w:val="0"/>
              <w:spacing w:after="0" w:line="240" w:lineRule="auto"/>
              <w:ind w:left="68"/>
              <w:rPr>
                <w:rFonts w:ascii="Times New Roman" w:eastAsia="Times New Roman" w:hAnsi="Times New Roman" w:cs="Times New Roman"/>
                <w:sz w:val="24"/>
                <w:szCs w:val="24"/>
                <w:lang w:eastAsia="ru-RU" w:bidi="ru-RU"/>
              </w:rPr>
            </w:pPr>
            <w:r w:rsidRPr="00115407">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115407">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591FB4" w:rsidRDefault="00591FB4" w:rsidP="00864E59">
      <w:pPr>
        <w:spacing w:after="0" w:line="360" w:lineRule="auto"/>
        <w:ind w:firstLine="709"/>
        <w:jc w:val="both"/>
        <w:rPr>
          <w:rFonts w:ascii="Times New Roman" w:eastAsia="Times New Roman" w:hAnsi="Times New Roman" w:cs="Times New Roman"/>
          <w:b/>
          <w:sz w:val="28"/>
          <w:szCs w:val="28"/>
        </w:rPr>
      </w:pPr>
    </w:p>
    <w:p w:rsidR="00591FB4" w:rsidRDefault="00591FB4"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F252D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F252D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F252D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1D07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1D0794" w:rsidRPr="00F82393" w:rsidRDefault="00BC7494" w:rsidP="00F252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F252D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F252D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1D07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F252D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F252D1">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F252D1">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D07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BE2B21" w:rsidP="00F252D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5747C8">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5747C8">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EA" w:rsidRDefault="006168EA">
      <w:pPr>
        <w:spacing w:after="0" w:line="240" w:lineRule="auto"/>
      </w:pPr>
      <w:r>
        <w:separator/>
      </w:r>
    </w:p>
  </w:endnote>
  <w:endnote w:type="continuationSeparator" w:id="0">
    <w:p w:rsidR="006168EA" w:rsidRDefault="0061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6168EA" w:rsidRDefault="006168EA">
        <w:pPr>
          <w:pStyle w:val="ac"/>
          <w:jc w:val="center"/>
        </w:pPr>
        <w:r>
          <w:fldChar w:fldCharType="begin"/>
        </w:r>
        <w:r>
          <w:instrText>PAGE   \* MERGEFORMAT</w:instrText>
        </w:r>
        <w:r>
          <w:fldChar w:fldCharType="separate"/>
        </w:r>
        <w:r w:rsidR="00635DB1">
          <w:rPr>
            <w:noProof/>
          </w:rPr>
          <w:t>4</w:t>
        </w:r>
        <w:r>
          <w:fldChar w:fldCharType="end"/>
        </w:r>
      </w:p>
    </w:sdtContent>
  </w:sdt>
  <w:p w:rsidR="006168EA" w:rsidRDefault="006168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EA" w:rsidRDefault="006168EA">
    <w:pPr>
      <w:pStyle w:val="ac"/>
      <w:jc w:val="right"/>
    </w:pPr>
    <w:r>
      <w:fldChar w:fldCharType="begin"/>
    </w:r>
    <w:r>
      <w:instrText xml:space="preserve"> PAGE   \* MERGEFORMAT </w:instrText>
    </w:r>
    <w:r>
      <w:fldChar w:fldCharType="separate"/>
    </w:r>
    <w:r w:rsidR="00635DB1">
      <w:rPr>
        <w:noProof/>
      </w:rPr>
      <w:t>157</w:t>
    </w:r>
    <w:r>
      <w:fldChar w:fldCharType="end"/>
    </w:r>
  </w:p>
  <w:p w:rsidR="006168EA" w:rsidRDefault="006168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EA" w:rsidRDefault="006168EA">
      <w:pPr>
        <w:spacing w:after="0" w:line="240" w:lineRule="auto"/>
      </w:pPr>
      <w:r>
        <w:separator/>
      </w:r>
    </w:p>
  </w:footnote>
  <w:footnote w:type="continuationSeparator" w:id="0">
    <w:p w:rsidR="006168EA" w:rsidRDefault="00616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5F58E1"/>
    <w:multiLevelType w:val="singleLevel"/>
    <w:tmpl w:val="FF18CE40"/>
    <w:lvl w:ilvl="0">
      <w:start w:val="1"/>
      <w:numFmt w:val="decimal"/>
      <w:lvlText w:val="%1"/>
      <w:lvlJc w:val="left"/>
      <w:pPr>
        <w:tabs>
          <w:tab w:val="num" w:pos="360"/>
        </w:tabs>
        <w:ind w:left="360" w:hanging="360"/>
      </w:pPr>
    </w:lvl>
  </w:abstractNum>
  <w:abstractNum w:abstractNumId="89">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C0FDB"/>
    <w:rsid w:val="002D305A"/>
    <w:rsid w:val="00304124"/>
    <w:rsid w:val="0032715F"/>
    <w:rsid w:val="003627B9"/>
    <w:rsid w:val="00370257"/>
    <w:rsid w:val="00376B26"/>
    <w:rsid w:val="003B3B1F"/>
    <w:rsid w:val="00474225"/>
    <w:rsid w:val="004847B7"/>
    <w:rsid w:val="004B5E2A"/>
    <w:rsid w:val="004E0695"/>
    <w:rsid w:val="0053357D"/>
    <w:rsid w:val="005350DB"/>
    <w:rsid w:val="00556655"/>
    <w:rsid w:val="00563073"/>
    <w:rsid w:val="00591FB4"/>
    <w:rsid w:val="005C5FB1"/>
    <w:rsid w:val="005F29AC"/>
    <w:rsid w:val="006168EA"/>
    <w:rsid w:val="00635DB1"/>
    <w:rsid w:val="00663DB5"/>
    <w:rsid w:val="0066467B"/>
    <w:rsid w:val="006F6792"/>
    <w:rsid w:val="006F69BE"/>
    <w:rsid w:val="0071035C"/>
    <w:rsid w:val="00727456"/>
    <w:rsid w:val="007709C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71D81"/>
    <w:rsid w:val="00A850BC"/>
    <w:rsid w:val="00A9195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307F3"/>
    <w:rsid w:val="00E641DE"/>
    <w:rsid w:val="00E81940"/>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5A"/>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5A"/>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8105344"/>
        <c:axId val="68107264"/>
      </c:scatterChart>
      <c:valAx>
        <c:axId val="68105344"/>
        <c:scaling>
          <c:orientation val="minMax"/>
        </c:scaling>
        <c:delete val="0"/>
        <c:axPos val="b"/>
        <c:numFmt formatCode="General" sourceLinked="1"/>
        <c:majorTickMark val="out"/>
        <c:minorTickMark val="none"/>
        <c:tickLblPos val="none"/>
        <c:crossAx val="68107264"/>
        <c:crosses val="autoZero"/>
        <c:crossBetween val="midCat"/>
      </c:valAx>
      <c:valAx>
        <c:axId val="68107264"/>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681053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94934528"/>
        <c:axId val="94936448"/>
      </c:scatterChart>
      <c:valAx>
        <c:axId val="94934528"/>
        <c:scaling>
          <c:orientation val="minMax"/>
        </c:scaling>
        <c:delete val="0"/>
        <c:axPos val="b"/>
        <c:numFmt formatCode="General" sourceLinked="1"/>
        <c:majorTickMark val="out"/>
        <c:minorTickMark val="none"/>
        <c:tickLblPos val="none"/>
        <c:crossAx val="94936448"/>
        <c:crosses val="autoZero"/>
        <c:crossBetween val="midCat"/>
      </c:valAx>
      <c:valAx>
        <c:axId val="9493644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9345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95005696"/>
        <c:axId val="95011584"/>
      </c:scatterChart>
      <c:valAx>
        <c:axId val="95005696"/>
        <c:scaling>
          <c:orientation val="minMax"/>
        </c:scaling>
        <c:delete val="0"/>
        <c:axPos val="b"/>
        <c:numFmt formatCode="General" sourceLinked="1"/>
        <c:majorTickMark val="out"/>
        <c:minorTickMark val="none"/>
        <c:tickLblPos val="none"/>
        <c:spPr>
          <a:ln w="3175">
            <a:solidFill>
              <a:srgbClr val="000000"/>
            </a:solidFill>
            <a:prstDash val="solid"/>
          </a:ln>
        </c:spPr>
        <c:crossAx val="95011584"/>
        <c:crosses val="autoZero"/>
        <c:crossBetween val="midCat"/>
      </c:valAx>
      <c:valAx>
        <c:axId val="9501158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50056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5022464"/>
        <c:axId val="95073792"/>
      </c:scatterChart>
      <c:valAx>
        <c:axId val="950224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5073792"/>
        <c:crosses val="autoZero"/>
        <c:crossBetween val="midCat"/>
      </c:valAx>
      <c:valAx>
        <c:axId val="950737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50224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97194368"/>
        <c:axId val="97196288"/>
      </c:scatterChart>
      <c:valAx>
        <c:axId val="97194368"/>
        <c:scaling>
          <c:orientation val="minMax"/>
        </c:scaling>
        <c:delete val="0"/>
        <c:axPos val="b"/>
        <c:numFmt formatCode="General" sourceLinked="1"/>
        <c:majorTickMark val="out"/>
        <c:minorTickMark val="none"/>
        <c:tickLblPos val="none"/>
        <c:crossAx val="97196288"/>
        <c:crosses val="autoZero"/>
        <c:crossBetween val="midCat"/>
      </c:valAx>
      <c:valAx>
        <c:axId val="9719628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971943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97252480"/>
        <c:axId val="97254400"/>
      </c:scatterChart>
      <c:valAx>
        <c:axId val="97252480"/>
        <c:scaling>
          <c:orientation val="minMax"/>
        </c:scaling>
        <c:delete val="0"/>
        <c:axPos val="b"/>
        <c:numFmt formatCode="General" sourceLinked="1"/>
        <c:majorTickMark val="out"/>
        <c:minorTickMark val="none"/>
        <c:tickLblPos val="none"/>
        <c:crossAx val="97254400"/>
        <c:crosses val="autoZero"/>
        <c:crossBetween val="midCat"/>
      </c:valAx>
      <c:valAx>
        <c:axId val="9725440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2524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97270400"/>
        <c:axId val="97313152"/>
      </c:scatterChart>
      <c:valAx>
        <c:axId val="97270400"/>
        <c:scaling>
          <c:orientation val="minMax"/>
        </c:scaling>
        <c:delete val="0"/>
        <c:axPos val="b"/>
        <c:numFmt formatCode="General" sourceLinked="1"/>
        <c:majorTickMark val="out"/>
        <c:minorTickMark val="none"/>
        <c:tickLblPos val="none"/>
        <c:spPr>
          <a:ln w="3175">
            <a:solidFill>
              <a:srgbClr val="000000"/>
            </a:solidFill>
            <a:prstDash val="solid"/>
          </a:ln>
        </c:spPr>
        <c:crossAx val="97313152"/>
        <c:crosses val="autoZero"/>
        <c:crossBetween val="midCat"/>
      </c:valAx>
      <c:valAx>
        <c:axId val="973131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2704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7344512"/>
        <c:axId val="97350784"/>
      </c:scatterChart>
      <c:valAx>
        <c:axId val="973445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350784"/>
        <c:crosses val="autoZero"/>
        <c:crossBetween val="midCat"/>
      </c:valAx>
      <c:valAx>
        <c:axId val="9735078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344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97407360"/>
        <c:axId val="97409280"/>
      </c:scatterChart>
      <c:valAx>
        <c:axId val="97407360"/>
        <c:scaling>
          <c:orientation val="minMax"/>
        </c:scaling>
        <c:delete val="0"/>
        <c:axPos val="b"/>
        <c:numFmt formatCode="General" sourceLinked="1"/>
        <c:majorTickMark val="out"/>
        <c:minorTickMark val="none"/>
        <c:tickLblPos val="none"/>
        <c:crossAx val="97409280"/>
        <c:crosses val="autoZero"/>
        <c:crossBetween val="midCat"/>
      </c:valAx>
      <c:valAx>
        <c:axId val="974092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974073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7723904"/>
        <c:axId val="97725824"/>
      </c:scatterChart>
      <c:valAx>
        <c:axId val="977239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725824"/>
        <c:crosses val="autoZero"/>
        <c:crossBetween val="midCat"/>
      </c:valAx>
      <c:valAx>
        <c:axId val="977258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7239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97745920"/>
        <c:axId val="97760000"/>
      </c:scatterChart>
      <c:valAx>
        <c:axId val="97745920"/>
        <c:scaling>
          <c:orientation val="minMax"/>
        </c:scaling>
        <c:delete val="0"/>
        <c:axPos val="b"/>
        <c:numFmt formatCode="General" sourceLinked="1"/>
        <c:majorTickMark val="out"/>
        <c:minorTickMark val="none"/>
        <c:tickLblPos val="none"/>
        <c:spPr>
          <a:ln w="3175">
            <a:solidFill>
              <a:srgbClr val="000000"/>
            </a:solidFill>
            <a:prstDash val="solid"/>
          </a:ln>
        </c:spPr>
        <c:crossAx val="97760000"/>
        <c:crosses val="autoZero"/>
        <c:crossBetween val="midCat"/>
      </c:valAx>
      <c:valAx>
        <c:axId val="9776000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745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68269952"/>
        <c:axId val="68280320"/>
      </c:scatterChart>
      <c:valAx>
        <c:axId val="68269952"/>
        <c:scaling>
          <c:orientation val="minMax"/>
        </c:scaling>
        <c:delete val="0"/>
        <c:axPos val="b"/>
        <c:numFmt formatCode="General" sourceLinked="1"/>
        <c:majorTickMark val="out"/>
        <c:minorTickMark val="none"/>
        <c:tickLblPos val="none"/>
        <c:crossAx val="68280320"/>
        <c:crosses val="autoZero"/>
        <c:crossBetween val="midCat"/>
      </c:valAx>
      <c:valAx>
        <c:axId val="68280320"/>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682699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97471488"/>
        <c:axId val="97477760"/>
      </c:scatterChart>
      <c:valAx>
        <c:axId val="97471488"/>
        <c:scaling>
          <c:orientation val="minMax"/>
        </c:scaling>
        <c:delete val="0"/>
        <c:axPos val="b"/>
        <c:numFmt formatCode="General" sourceLinked="1"/>
        <c:majorTickMark val="out"/>
        <c:minorTickMark val="none"/>
        <c:tickLblPos val="none"/>
        <c:crossAx val="97477760"/>
        <c:crosses val="autoZero"/>
        <c:crossBetween val="midCat"/>
      </c:valAx>
      <c:valAx>
        <c:axId val="9747776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4714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97624064"/>
        <c:axId val="97625984"/>
      </c:scatterChart>
      <c:valAx>
        <c:axId val="97624064"/>
        <c:scaling>
          <c:orientation val="minMax"/>
        </c:scaling>
        <c:delete val="0"/>
        <c:axPos val="b"/>
        <c:numFmt formatCode="General" sourceLinked="1"/>
        <c:majorTickMark val="out"/>
        <c:minorTickMark val="none"/>
        <c:tickLblPos val="none"/>
        <c:crossAx val="97625984"/>
        <c:crosses val="autoZero"/>
        <c:crossBetween val="midCat"/>
      </c:valAx>
      <c:valAx>
        <c:axId val="9762598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6240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94724864"/>
        <c:axId val="94726784"/>
      </c:scatterChart>
      <c:valAx>
        <c:axId val="94724864"/>
        <c:scaling>
          <c:orientation val="minMax"/>
        </c:scaling>
        <c:delete val="0"/>
        <c:axPos val="b"/>
        <c:numFmt formatCode="General" sourceLinked="1"/>
        <c:majorTickMark val="out"/>
        <c:minorTickMark val="none"/>
        <c:tickLblPos val="none"/>
        <c:crossAx val="94726784"/>
        <c:crosses val="autoZero"/>
        <c:crossBetween val="midCat"/>
      </c:valAx>
      <c:valAx>
        <c:axId val="9472678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947248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94759168"/>
        <c:axId val="97648640"/>
      </c:scatterChart>
      <c:valAx>
        <c:axId val="94759168"/>
        <c:scaling>
          <c:orientation val="minMax"/>
        </c:scaling>
        <c:delete val="0"/>
        <c:axPos val="b"/>
        <c:numFmt formatCode="General" sourceLinked="1"/>
        <c:majorTickMark val="out"/>
        <c:minorTickMark val="none"/>
        <c:tickLblPos val="none"/>
        <c:spPr>
          <a:ln w="3175">
            <a:solidFill>
              <a:srgbClr val="000000"/>
            </a:solidFill>
            <a:prstDash val="solid"/>
          </a:ln>
        </c:spPr>
        <c:crossAx val="97648640"/>
        <c:crosses val="autoZero"/>
        <c:crossBetween val="midCat"/>
      </c:valAx>
      <c:valAx>
        <c:axId val="976486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7591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7692288"/>
        <c:axId val="97702656"/>
      </c:scatterChart>
      <c:valAx>
        <c:axId val="976922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702656"/>
        <c:crosses val="autoZero"/>
        <c:crossBetween val="midCat"/>
      </c:valAx>
      <c:valAx>
        <c:axId val="977026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76922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68287872"/>
        <c:axId val="75580544"/>
      </c:scatterChart>
      <c:valAx>
        <c:axId val="68287872"/>
        <c:scaling>
          <c:orientation val="minMax"/>
        </c:scaling>
        <c:delete val="0"/>
        <c:axPos val="b"/>
        <c:numFmt formatCode="General" sourceLinked="1"/>
        <c:majorTickMark val="out"/>
        <c:minorTickMark val="none"/>
        <c:tickLblPos val="none"/>
        <c:spPr>
          <a:ln w="3171">
            <a:solidFill>
              <a:srgbClr val="000000"/>
            </a:solidFill>
            <a:prstDash val="solid"/>
          </a:ln>
        </c:spPr>
        <c:crossAx val="75580544"/>
        <c:crosses val="autoZero"/>
        <c:crossBetween val="midCat"/>
      </c:valAx>
      <c:valAx>
        <c:axId val="75580544"/>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682878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75628544"/>
        <c:axId val="75630464"/>
      </c:scatterChart>
      <c:valAx>
        <c:axId val="7562854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75630464"/>
        <c:crosses val="autoZero"/>
        <c:crossBetween val="midCat"/>
      </c:valAx>
      <c:valAx>
        <c:axId val="75630464"/>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756285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94647424"/>
        <c:axId val="94649344"/>
      </c:scatterChart>
      <c:valAx>
        <c:axId val="94647424"/>
        <c:scaling>
          <c:orientation val="minMax"/>
        </c:scaling>
        <c:delete val="0"/>
        <c:axPos val="b"/>
        <c:numFmt formatCode="General" sourceLinked="1"/>
        <c:majorTickMark val="out"/>
        <c:minorTickMark val="none"/>
        <c:tickLblPos val="none"/>
        <c:crossAx val="94649344"/>
        <c:crosses val="autoZero"/>
        <c:crossBetween val="midCat"/>
      </c:valAx>
      <c:valAx>
        <c:axId val="946493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946474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94660480"/>
        <c:axId val="94670848"/>
      </c:scatterChart>
      <c:valAx>
        <c:axId val="94660480"/>
        <c:scaling>
          <c:orientation val="minMax"/>
        </c:scaling>
        <c:delete val="0"/>
        <c:axPos val="b"/>
        <c:numFmt formatCode="General" sourceLinked="1"/>
        <c:majorTickMark val="out"/>
        <c:minorTickMark val="none"/>
        <c:tickLblPos val="none"/>
        <c:crossAx val="94670848"/>
        <c:crosses val="autoZero"/>
        <c:crossBetween val="midCat"/>
      </c:valAx>
      <c:valAx>
        <c:axId val="9467084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6604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94788992"/>
        <c:axId val="94794880"/>
      </c:scatterChart>
      <c:valAx>
        <c:axId val="94788992"/>
        <c:scaling>
          <c:orientation val="minMax"/>
        </c:scaling>
        <c:delete val="0"/>
        <c:axPos val="b"/>
        <c:numFmt formatCode="General" sourceLinked="1"/>
        <c:majorTickMark val="out"/>
        <c:minorTickMark val="none"/>
        <c:tickLblPos val="none"/>
        <c:spPr>
          <a:ln w="3175">
            <a:solidFill>
              <a:srgbClr val="000000"/>
            </a:solidFill>
            <a:prstDash val="solid"/>
          </a:ln>
        </c:spPr>
        <c:crossAx val="94794880"/>
        <c:crosses val="autoZero"/>
        <c:crossBetween val="midCat"/>
      </c:valAx>
      <c:valAx>
        <c:axId val="947948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788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94855168"/>
        <c:axId val="94857088"/>
      </c:scatterChart>
      <c:valAx>
        <c:axId val="948551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857088"/>
        <c:crosses val="autoZero"/>
        <c:crossBetween val="midCat"/>
      </c:valAx>
      <c:valAx>
        <c:axId val="9485708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948551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94921856"/>
        <c:axId val="94923776"/>
      </c:scatterChart>
      <c:valAx>
        <c:axId val="94921856"/>
        <c:scaling>
          <c:orientation val="minMax"/>
        </c:scaling>
        <c:delete val="0"/>
        <c:axPos val="b"/>
        <c:numFmt formatCode="General" sourceLinked="1"/>
        <c:majorTickMark val="out"/>
        <c:minorTickMark val="none"/>
        <c:tickLblPos val="none"/>
        <c:crossAx val="94923776"/>
        <c:crosses val="autoZero"/>
        <c:crossBetween val="midCat"/>
      </c:valAx>
      <c:valAx>
        <c:axId val="949237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949218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BED9-D692-4A88-B6BA-FBE539BD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30337</Words>
  <Characters>172925</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cp:lastPrinted>2019-10-09T11:11:00Z</cp:lastPrinted>
  <dcterms:created xsi:type="dcterms:W3CDTF">2019-11-15T06:56:00Z</dcterms:created>
  <dcterms:modified xsi:type="dcterms:W3CDTF">2019-11-19T03:49:00Z</dcterms:modified>
</cp:coreProperties>
</file>