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4461E1" w:rsidRDefault="001B6DA7" w:rsidP="001B6DA7">
      <w:pPr>
        <w:pStyle w:val="ReportHead"/>
        <w:suppressAutoHyphens/>
        <w:rPr>
          <w:i/>
          <w:u w:val="single"/>
        </w:rPr>
      </w:pPr>
      <w:r w:rsidRPr="001B6DA7">
        <w:rPr>
          <w:i/>
          <w:u w:val="single"/>
        </w:rPr>
        <w:t>Дошкольное образование</w:t>
      </w:r>
      <w:r w:rsidR="004461E1">
        <w:rPr>
          <w:i/>
          <w:u w:val="single"/>
        </w:rPr>
        <w:t xml:space="preserve">, Начальное образование, </w:t>
      </w:r>
    </w:p>
    <w:p w:rsidR="001B6DA7" w:rsidRPr="001B6DA7" w:rsidRDefault="004461E1" w:rsidP="001B6DA7">
      <w:pPr>
        <w:pStyle w:val="ReportHead"/>
        <w:suppressAutoHyphens/>
        <w:rPr>
          <w:i/>
          <w:u w:val="single"/>
        </w:rPr>
      </w:pPr>
      <w:r>
        <w:rPr>
          <w:i/>
          <w:u w:val="single"/>
        </w:rPr>
        <w:t>Иностранный язык, Информатика</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E051D">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C06CB1" w:rsidRDefault="00C06CB1" w:rsidP="00C06CB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06CB1" w:rsidTr="00C06CB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bookmarkStart w:id="1" w:name="_GoBack" w:colFirst="0" w:colLast="7"/>
            <w:r w:rsidRPr="00C06CB1">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jc w:val="center"/>
              <w:rPr>
                <w:sz w:val="24"/>
                <w:szCs w:val="28"/>
              </w:rPr>
            </w:pPr>
            <w:r w:rsidRPr="00C06CB1">
              <w:rPr>
                <w:rStyle w:val="2fa"/>
                <w:rFonts w:eastAsiaTheme="minorHAnsi"/>
                <w:sz w:val="24"/>
                <w:szCs w:val="28"/>
              </w:rPr>
              <w:t>Класс условий труда</w:t>
            </w:r>
          </w:p>
        </w:tc>
      </w:tr>
      <w:tr w:rsidR="00C06CB1" w:rsidTr="00C06CB1">
        <w:trPr>
          <w:trHeight w:val="545"/>
          <w:jc w:val="center"/>
        </w:trPr>
        <w:tc>
          <w:tcPr>
            <w:tcW w:w="2667" w:type="dxa"/>
            <w:vMerge/>
            <w:tcBorders>
              <w:top w:val="single" w:sz="4" w:space="0" w:color="auto"/>
              <w:left w:val="single" w:sz="4" w:space="0" w:color="auto"/>
              <w:bottom w:val="nil"/>
              <w:right w:val="nil"/>
            </w:tcBorders>
            <w:vAlign w:val="center"/>
            <w:hideMark/>
          </w:tcPr>
          <w:p w:rsidR="00C06CB1" w:rsidRPr="00C06CB1" w:rsidRDefault="00C06C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center"/>
              <w:rPr>
                <w:sz w:val="24"/>
                <w:szCs w:val="28"/>
              </w:rPr>
            </w:pPr>
            <w:r w:rsidRPr="00C06CB1">
              <w:rPr>
                <w:rStyle w:val="210pt0"/>
                <w:rFonts w:eastAsiaTheme="minorHAnsi"/>
                <w:b w:val="0"/>
                <w:sz w:val="24"/>
                <w:szCs w:val="28"/>
                <w:u w:val="none"/>
              </w:rPr>
              <w:t>опти</w:t>
            </w:r>
            <w:r w:rsidRPr="00C06CB1">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center"/>
              <w:rPr>
                <w:sz w:val="24"/>
                <w:szCs w:val="28"/>
              </w:rPr>
            </w:pPr>
            <w:r w:rsidRPr="00C06CB1">
              <w:rPr>
                <w:rStyle w:val="210pt0"/>
                <w:rFonts w:eastAsiaTheme="minorHAnsi"/>
                <w:b w:val="0"/>
                <w:sz w:val="24"/>
                <w:szCs w:val="28"/>
                <w:u w:val="none"/>
              </w:rPr>
              <w:t>допу</w:t>
            </w:r>
            <w:r w:rsidRPr="00C06CB1">
              <w:rPr>
                <w:rStyle w:val="210pt0"/>
                <w:rFonts w:eastAsiaTheme="minorHAnsi"/>
                <w:b w:val="0"/>
                <w:sz w:val="24"/>
                <w:szCs w:val="28"/>
                <w:u w:val="none"/>
              </w:rPr>
              <w:softHyphen/>
            </w:r>
          </w:p>
          <w:p w:rsidR="00C06CB1" w:rsidRPr="00C06CB1" w:rsidRDefault="00C06CB1">
            <w:pPr>
              <w:spacing w:before="60" w:after="0" w:line="240" w:lineRule="auto"/>
              <w:jc w:val="center"/>
              <w:rPr>
                <w:sz w:val="24"/>
                <w:szCs w:val="28"/>
              </w:rPr>
            </w:pPr>
            <w:r w:rsidRPr="00C06CB1">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center"/>
              <w:rPr>
                <w:sz w:val="24"/>
                <w:szCs w:val="28"/>
              </w:rPr>
            </w:pPr>
            <w:r w:rsidRPr="00C06CB1">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jc w:val="center"/>
              <w:rPr>
                <w:sz w:val="24"/>
                <w:szCs w:val="28"/>
              </w:rPr>
            </w:pPr>
            <w:r w:rsidRPr="00C06CB1">
              <w:rPr>
                <w:rStyle w:val="210pt0"/>
                <w:rFonts w:eastAsiaTheme="minorHAnsi"/>
                <w:b w:val="0"/>
                <w:sz w:val="24"/>
                <w:szCs w:val="28"/>
                <w:u w:val="none"/>
              </w:rPr>
              <w:t>опасный (экс</w:t>
            </w:r>
            <w:r w:rsidRPr="00C06CB1">
              <w:rPr>
                <w:rStyle w:val="210pt0"/>
                <w:rFonts w:eastAsiaTheme="minorHAnsi"/>
                <w:b w:val="0"/>
                <w:sz w:val="24"/>
                <w:szCs w:val="28"/>
                <w:u w:val="none"/>
              </w:rPr>
              <w:softHyphen/>
              <w:t>тремальный)</w:t>
            </w:r>
          </w:p>
        </w:tc>
      </w:tr>
      <w:tr w:rsidR="00C06CB1" w:rsidTr="00C06CB1">
        <w:trPr>
          <w:trHeight w:val="231"/>
          <w:jc w:val="center"/>
        </w:trPr>
        <w:tc>
          <w:tcPr>
            <w:tcW w:w="2667" w:type="dxa"/>
            <w:vMerge/>
            <w:tcBorders>
              <w:top w:val="single" w:sz="4" w:space="0" w:color="auto"/>
              <w:left w:val="single" w:sz="4" w:space="0" w:color="auto"/>
              <w:bottom w:val="nil"/>
              <w:right w:val="nil"/>
            </w:tcBorders>
            <w:vAlign w:val="center"/>
            <w:hideMark/>
          </w:tcPr>
          <w:p w:rsidR="00C06CB1" w:rsidRPr="00C06CB1" w:rsidRDefault="00C06C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center"/>
              <w:rPr>
                <w:sz w:val="24"/>
                <w:szCs w:val="28"/>
              </w:rPr>
            </w:pPr>
            <w:r w:rsidRPr="00C06CB1">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center"/>
              <w:rPr>
                <w:sz w:val="24"/>
                <w:szCs w:val="28"/>
              </w:rPr>
            </w:pPr>
            <w:r w:rsidRPr="00C06CB1">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jc w:val="center"/>
              <w:rPr>
                <w:sz w:val="24"/>
                <w:szCs w:val="28"/>
              </w:rPr>
            </w:pPr>
            <w:r w:rsidRPr="00C06CB1">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jc w:val="center"/>
              <w:rPr>
                <w:sz w:val="24"/>
                <w:szCs w:val="28"/>
              </w:rPr>
            </w:pPr>
            <w:r w:rsidRPr="00C06CB1">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jc w:val="center"/>
              <w:rPr>
                <w:sz w:val="24"/>
                <w:szCs w:val="28"/>
              </w:rPr>
            </w:pPr>
            <w:r w:rsidRPr="00C06CB1">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jc w:val="center"/>
              <w:rPr>
                <w:sz w:val="24"/>
                <w:szCs w:val="28"/>
              </w:rPr>
            </w:pPr>
            <w:r w:rsidRPr="00C06CB1">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jc w:val="center"/>
              <w:rPr>
                <w:sz w:val="24"/>
                <w:szCs w:val="28"/>
              </w:rPr>
            </w:pPr>
            <w:r w:rsidRPr="00C06CB1">
              <w:rPr>
                <w:rStyle w:val="2fa"/>
                <w:rFonts w:eastAsiaTheme="minorHAnsi"/>
                <w:sz w:val="24"/>
                <w:szCs w:val="28"/>
              </w:rPr>
              <w:t>4</w:t>
            </w:r>
          </w:p>
        </w:tc>
      </w:tr>
      <w:tr w:rsidR="00C06CB1" w:rsidTr="00C06CB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ind w:left="140"/>
              <w:rPr>
                <w:sz w:val="24"/>
                <w:szCs w:val="28"/>
              </w:rPr>
            </w:pPr>
            <w:r w:rsidRPr="00C06CB1">
              <w:rPr>
                <w:rStyle w:val="2fa"/>
                <w:rFonts w:eastAsiaTheme="minorHAnsi"/>
                <w:sz w:val="24"/>
                <w:szCs w:val="28"/>
              </w:rPr>
              <w:t>Превышение ПДУ (раз)</w:t>
            </w:r>
          </w:p>
        </w:tc>
      </w:tr>
      <w:tr w:rsidR="00C06CB1" w:rsidTr="00C06CB1">
        <w:trPr>
          <w:trHeight w:val="497"/>
          <w:jc w:val="center"/>
        </w:trPr>
        <w:tc>
          <w:tcPr>
            <w:tcW w:w="2667" w:type="dxa"/>
            <w:vMerge/>
            <w:tcBorders>
              <w:top w:val="single" w:sz="4" w:space="0" w:color="auto"/>
              <w:left w:val="single" w:sz="4" w:space="0" w:color="auto"/>
              <w:bottom w:val="nil"/>
              <w:right w:val="nil"/>
            </w:tcBorders>
            <w:vAlign w:val="center"/>
            <w:hideMark/>
          </w:tcPr>
          <w:p w:rsidR="00C06CB1" w:rsidRPr="00C06CB1" w:rsidRDefault="00C06C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rPr>
                <w:sz w:val="24"/>
                <w:szCs w:val="28"/>
              </w:rPr>
            </w:pPr>
            <w:r w:rsidRPr="00C06C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r>
      <w:tr w:rsidR="00C06CB1" w:rsidTr="00C06CB1">
        <w:trPr>
          <w:trHeight w:val="567"/>
          <w:jc w:val="center"/>
        </w:trPr>
        <w:tc>
          <w:tcPr>
            <w:tcW w:w="2667" w:type="dxa"/>
            <w:vMerge/>
            <w:tcBorders>
              <w:top w:val="single" w:sz="4" w:space="0" w:color="auto"/>
              <w:left w:val="single" w:sz="4" w:space="0" w:color="auto"/>
              <w:bottom w:val="nil"/>
              <w:right w:val="nil"/>
            </w:tcBorders>
            <w:vAlign w:val="center"/>
            <w:hideMark/>
          </w:tcPr>
          <w:p w:rsidR="00C06CB1" w:rsidRPr="00C06CB1" w:rsidRDefault="00C06C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ПДУ</w:t>
            </w:r>
            <w:r w:rsidRPr="00C06C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rPr>
                <w:sz w:val="24"/>
                <w:szCs w:val="28"/>
              </w:rPr>
            </w:pPr>
            <w:r w:rsidRPr="00C06C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r>
      <w:tr w:rsidR="00C06CB1" w:rsidTr="00C06CB1">
        <w:trPr>
          <w:trHeight w:val="257"/>
          <w:jc w:val="center"/>
        </w:trPr>
        <w:tc>
          <w:tcPr>
            <w:tcW w:w="2667"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rPr>
                <w:sz w:val="24"/>
                <w:szCs w:val="28"/>
              </w:rPr>
            </w:pPr>
            <w:r w:rsidRPr="00C06C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r>
      <w:tr w:rsidR="00C06CB1" w:rsidTr="00C06CB1">
        <w:trPr>
          <w:trHeight w:val="905"/>
          <w:jc w:val="center"/>
        </w:trPr>
        <w:tc>
          <w:tcPr>
            <w:tcW w:w="2667"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10pt0"/>
                <w:rFonts w:eastAsiaTheme="minorHAnsi"/>
                <w:b w:val="0"/>
                <w:sz w:val="24"/>
                <w:szCs w:val="28"/>
                <w:u w:val="none"/>
                <w:lang w:val="ru-RU"/>
              </w:rPr>
              <w:t>Электрические поля промышлен</w:t>
            </w:r>
            <w:r w:rsidRPr="00C06CB1">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rPr>
                <w:sz w:val="24"/>
                <w:szCs w:val="28"/>
              </w:rPr>
            </w:pPr>
            <w:r w:rsidRPr="00C06C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rPr>
                <w:sz w:val="24"/>
                <w:szCs w:val="28"/>
              </w:rPr>
            </w:pPr>
            <w:r w:rsidRPr="00C06C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&gt;40</w:t>
            </w:r>
          </w:p>
        </w:tc>
      </w:tr>
      <w:tr w:rsidR="00C06CB1" w:rsidTr="00C06CB1">
        <w:trPr>
          <w:trHeight w:val="905"/>
          <w:jc w:val="center"/>
        </w:trPr>
        <w:tc>
          <w:tcPr>
            <w:tcW w:w="2667"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rPr>
                <w:sz w:val="24"/>
                <w:szCs w:val="28"/>
              </w:rPr>
            </w:pPr>
            <w:r w:rsidRPr="00C06C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rPr>
                <w:sz w:val="24"/>
                <w:szCs w:val="28"/>
              </w:rPr>
            </w:pPr>
            <w:r w:rsidRPr="00C06C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r>
      <w:tr w:rsidR="00C06CB1" w:rsidTr="00C06CB1">
        <w:trPr>
          <w:trHeight w:val="905"/>
          <w:jc w:val="center"/>
        </w:trPr>
        <w:tc>
          <w:tcPr>
            <w:tcW w:w="2667"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10pt0"/>
                <w:rFonts w:eastAsiaTheme="minorHAnsi"/>
                <w:b w:val="0"/>
                <w:sz w:val="24"/>
                <w:szCs w:val="28"/>
                <w:u w:val="none"/>
                <w:lang w:val="ru-RU"/>
              </w:rPr>
              <w:t>Электромагнитные поля на рабо</w:t>
            </w:r>
            <w:r w:rsidRPr="00C06CB1">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rPr>
                <w:sz w:val="24"/>
                <w:szCs w:val="28"/>
              </w:rPr>
            </w:pPr>
            <w:r w:rsidRPr="00C06CB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rPr>
                <w:sz w:val="24"/>
                <w:szCs w:val="28"/>
              </w:rPr>
            </w:pPr>
            <w:r w:rsidRPr="00C06CB1">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06CB1" w:rsidRPr="00C06CB1" w:rsidRDefault="00C06CB1">
            <w:pPr>
              <w:spacing w:after="0" w:line="240" w:lineRule="auto"/>
              <w:rPr>
                <w:sz w:val="24"/>
                <w:szCs w:val="28"/>
              </w:rPr>
            </w:pPr>
          </w:p>
        </w:tc>
      </w:tr>
      <w:tr w:rsidR="00C06CB1" w:rsidTr="00C06CB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Электромагнитные излучения ра</w:t>
            </w:r>
            <w:r w:rsidRPr="00C06CB1">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06CB1" w:rsidRPr="00C06CB1" w:rsidRDefault="00C06CB1">
            <w:pPr>
              <w:spacing w:after="0" w:line="240" w:lineRule="auto"/>
              <w:jc w:val="both"/>
              <w:rPr>
                <w:sz w:val="24"/>
                <w:szCs w:val="28"/>
              </w:rPr>
            </w:pPr>
          </w:p>
        </w:tc>
      </w:tr>
      <w:tr w:rsidR="00C06CB1" w:rsidTr="00C06CB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06CB1" w:rsidRPr="00C06CB1" w:rsidRDefault="00C06CB1">
            <w:pPr>
              <w:spacing w:after="0" w:line="240" w:lineRule="auto"/>
              <w:jc w:val="both"/>
              <w:rPr>
                <w:sz w:val="24"/>
                <w:szCs w:val="28"/>
              </w:rPr>
            </w:pPr>
          </w:p>
        </w:tc>
      </w:tr>
      <w:tr w:rsidR="00C06CB1" w:rsidTr="00C06CB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06CB1" w:rsidRPr="00C06CB1" w:rsidRDefault="00C06C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06CB1" w:rsidRPr="00C06CB1" w:rsidRDefault="00C06CB1">
            <w:pPr>
              <w:spacing w:after="0" w:line="240" w:lineRule="auto"/>
              <w:jc w:val="both"/>
              <w:rPr>
                <w:sz w:val="24"/>
                <w:szCs w:val="28"/>
              </w:rPr>
            </w:pPr>
          </w:p>
        </w:tc>
      </w:tr>
      <w:tr w:rsidR="00C06CB1" w:rsidTr="00C06CB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06CB1" w:rsidRPr="00C06CB1" w:rsidRDefault="00C06CB1">
            <w:pPr>
              <w:spacing w:after="0" w:line="240" w:lineRule="auto"/>
              <w:jc w:val="both"/>
              <w:rPr>
                <w:sz w:val="24"/>
                <w:szCs w:val="28"/>
              </w:rPr>
            </w:pPr>
          </w:p>
        </w:tc>
      </w:tr>
      <w:tr w:rsidR="00C06CB1" w:rsidTr="00C06CB1">
        <w:trPr>
          <w:trHeight w:val="331"/>
          <w:jc w:val="center"/>
        </w:trPr>
        <w:tc>
          <w:tcPr>
            <w:tcW w:w="2667"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06CB1" w:rsidRPr="00C06CB1" w:rsidRDefault="00C06CB1">
            <w:pPr>
              <w:spacing w:after="0" w:line="240" w:lineRule="auto"/>
              <w:jc w:val="both"/>
              <w:rPr>
                <w:sz w:val="24"/>
                <w:szCs w:val="28"/>
              </w:rPr>
            </w:pPr>
            <w:r w:rsidRPr="00C06CB1">
              <w:rPr>
                <w:rStyle w:val="2fa"/>
                <w:rFonts w:eastAsiaTheme="minorHAnsi"/>
                <w:sz w:val="24"/>
                <w:szCs w:val="28"/>
              </w:rPr>
              <w:t>&gt;100</w:t>
            </w:r>
          </w:p>
        </w:tc>
      </w:tr>
      <w:tr w:rsidR="00C06CB1" w:rsidTr="00C06CB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fa"/>
                <w:rFonts w:eastAsiaTheme="minorHAnsi"/>
                <w:sz w:val="24"/>
                <w:szCs w:val="28"/>
              </w:rPr>
              <w:t>естествен</w:t>
            </w:r>
            <w:r w:rsidRPr="00C06C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r w:rsidRPr="00C06C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06CB1" w:rsidRPr="00C06CB1" w:rsidRDefault="00C06CB1">
            <w:pPr>
              <w:spacing w:after="0" w:line="240" w:lineRule="auto"/>
              <w:ind w:left="180"/>
              <w:jc w:val="both"/>
              <w:rPr>
                <w:sz w:val="24"/>
                <w:szCs w:val="28"/>
              </w:rPr>
            </w:pPr>
            <w:r w:rsidRPr="00C06C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06CB1" w:rsidRPr="00C06CB1" w:rsidRDefault="00C06CB1">
            <w:pPr>
              <w:spacing w:after="0" w:line="240" w:lineRule="auto"/>
              <w:jc w:val="both"/>
              <w:rPr>
                <w:sz w:val="24"/>
                <w:szCs w:val="28"/>
              </w:rPr>
            </w:pPr>
            <w:r w:rsidRPr="00C06CB1">
              <w:rPr>
                <w:rStyle w:val="2fa"/>
                <w:rFonts w:eastAsiaTheme="minorHAnsi"/>
                <w:sz w:val="24"/>
                <w:szCs w:val="28"/>
              </w:rPr>
              <w:t>&gt;100</w:t>
            </w:r>
          </w:p>
        </w:tc>
      </w:tr>
      <w:tr w:rsidR="00C06CB1" w:rsidTr="00C06CB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06CB1" w:rsidRPr="00C06CB1" w:rsidRDefault="00C06CB1">
            <w:pPr>
              <w:spacing w:after="0" w:line="240" w:lineRule="auto"/>
              <w:jc w:val="both"/>
              <w:rPr>
                <w:sz w:val="24"/>
                <w:szCs w:val="28"/>
              </w:rPr>
            </w:pPr>
            <w:r w:rsidRPr="00C06CB1">
              <w:rPr>
                <w:rStyle w:val="210pt0"/>
                <w:rFonts w:eastAsiaTheme="minorHAnsi"/>
                <w:b w:val="0"/>
                <w:sz w:val="24"/>
                <w:szCs w:val="28"/>
                <w:u w:val="none"/>
              </w:rPr>
              <w:t>Широкополосный электромагнит</w:t>
            </w:r>
            <w:r w:rsidRPr="00C06CB1">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C06CB1" w:rsidRPr="00C06CB1" w:rsidRDefault="00C06CB1">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06CB1" w:rsidRPr="00C06CB1" w:rsidRDefault="00C06CB1">
            <w:pPr>
              <w:spacing w:after="0" w:line="240" w:lineRule="auto"/>
              <w:ind w:left="160"/>
              <w:jc w:val="both"/>
              <w:rPr>
                <w:sz w:val="24"/>
                <w:szCs w:val="28"/>
              </w:rPr>
            </w:pPr>
            <w:r w:rsidRPr="00C06CB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06CB1" w:rsidRPr="00C06CB1" w:rsidRDefault="00C06CB1">
            <w:pPr>
              <w:spacing w:after="0" w:line="240" w:lineRule="auto"/>
              <w:ind w:left="240"/>
              <w:jc w:val="both"/>
              <w:rPr>
                <w:sz w:val="24"/>
                <w:szCs w:val="28"/>
              </w:rPr>
            </w:pPr>
            <w:r w:rsidRPr="00C06CB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06CB1" w:rsidRPr="00C06CB1" w:rsidRDefault="00C06CB1">
            <w:pPr>
              <w:spacing w:after="0" w:line="240" w:lineRule="auto"/>
              <w:ind w:left="220"/>
              <w:jc w:val="both"/>
              <w:rPr>
                <w:sz w:val="24"/>
                <w:szCs w:val="28"/>
              </w:rPr>
            </w:pPr>
            <w:r w:rsidRPr="00C06CB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06CB1" w:rsidRPr="00C06CB1" w:rsidRDefault="00C06CB1">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06CB1" w:rsidRPr="00C06CB1" w:rsidRDefault="00C06CB1">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06CB1" w:rsidRPr="00C06CB1" w:rsidRDefault="00C06CB1">
            <w:pPr>
              <w:spacing w:after="0" w:line="240" w:lineRule="auto"/>
              <w:jc w:val="both"/>
              <w:rPr>
                <w:sz w:val="24"/>
                <w:szCs w:val="28"/>
              </w:rPr>
            </w:pPr>
            <w:r w:rsidRPr="00C06CB1">
              <w:rPr>
                <w:rStyle w:val="2fa"/>
                <w:rFonts w:eastAsiaTheme="minorHAnsi"/>
                <w:sz w:val="24"/>
                <w:szCs w:val="28"/>
              </w:rPr>
              <w:t>&gt;50</w:t>
            </w:r>
          </w:p>
        </w:tc>
      </w:tr>
    </w:tbl>
    <w:bookmarkEnd w:id="1"/>
    <w:p w:rsidR="00C06CB1" w:rsidRDefault="00C06CB1" w:rsidP="00C06CB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C06CB1" w:rsidRDefault="00C06CB1" w:rsidP="00C06CB1">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C06CB1" w:rsidRDefault="00C06CB1" w:rsidP="00C06CB1">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C06CB1" w:rsidRDefault="00C06CB1" w:rsidP="00C06CB1">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BE4A69">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BE4A69" w:rsidRDefault="004461E1" w:rsidP="006F4050">
            <w:pPr>
              <w:spacing w:after="0" w:line="360" w:lineRule="auto"/>
              <w:jc w:val="center"/>
              <w:rPr>
                <w:sz w:val="24"/>
                <w:szCs w:val="28"/>
              </w:rPr>
            </w:pPr>
            <w:r w:rsidRPr="00BE4A69">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BE4A69" w:rsidRDefault="004461E1" w:rsidP="006F4050">
            <w:pPr>
              <w:spacing w:after="0" w:line="360" w:lineRule="auto"/>
              <w:jc w:val="center"/>
              <w:rPr>
                <w:sz w:val="24"/>
                <w:szCs w:val="28"/>
              </w:rPr>
            </w:pPr>
            <w:r w:rsidRPr="00BE4A69">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BE4A69" w:rsidRDefault="004461E1" w:rsidP="006F4050">
            <w:pPr>
              <w:spacing w:after="0" w:line="360" w:lineRule="auto"/>
              <w:jc w:val="center"/>
              <w:rPr>
                <w:sz w:val="24"/>
                <w:szCs w:val="28"/>
              </w:rPr>
            </w:pPr>
            <w:r w:rsidRPr="00BE4A69">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BE4A69"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BE4A69">
        <w:trPr>
          <w:trHeight w:hRule="exact" w:val="592"/>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BE4A69">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BE4A69">
        <w:trPr>
          <w:trHeight w:hRule="exact" w:val="566"/>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 xml:space="preserve">Отношение силы правой кисти по данным кистевого динамометра к массе </w:t>
      </w:r>
      <w:r w:rsidRPr="004461E1">
        <w:rPr>
          <w:sz w:val="28"/>
          <w:szCs w:val="28"/>
        </w:rPr>
        <w:lastRenderedPageBreak/>
        <w:t>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648FE" w:rsidRDefault="004461E1" w:rsidP="00E648FE">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E648FE" w:rsidRPr="004461E1" w:rsidRDefault="00E648FE" w:rsidP="00E648FE">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28" w:rsidRDefault="00164728" w:rsidP="003D188D">
      <w:pPr>
        <w:spacing w:after="0" w:line="240" w:lineRule="auto"/>
      </w:pPr>
      <w:r>
        <w:separator/>
      </w:r>
    </w:p>
  </w:endnote>
  <w:endnote w:type="continuationSeparator" w:id="0">
    <w:p w:rsidR="00164728" w:rsidRDefault="00164728"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C06CB1">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28" w:rsidRDefault="00164728" w:rsidP="003D188D">
      <w:pPr>
        <w:spacing w:after="0" w:line="240" w:lineRule="auto"/>
      </w:pPr>
      <w:r>
        <w:separator/>
      </w:r>
    </w:p>
  </w:footnote>
  <w:footnote w:type="continuationSeparator" w:id="0">
    <w:p w:rsidR="00164728" w:rsidRDefault="00164728"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64728"/>
    <w:rsid w:val="001B6DA7"/>
    <w:rsid w:val="001D214D"/>
    <w:rsid w:val="001E59A0"/>
    <w:rsid w:val="003B1914"/>
    <w:rsid w:val="003D188D"/>
    <w:rsid w:val="00426BB9"/>
    <w:rsid w:val="004461E1"/>
    <w:rsid w:val="004560A3"/>
    <w:rsid w:val="00522A5D"/>
    <w:rsid w:val="00543CD4"/>
    <w:rsid w:val="00553DC2"/>
    <w:rsid w:val="005C5267"/>
    <w:rsid w:val="00663517"/>
    <w:rsid w:val="006E730E"/>
    <w:rsid w:val="00793E6E"/>
    <w:rsid w:val="0082398B"/>
    <w:rsid w:val="0085392B"/>
    <w:rsid w:val="008A3F33"/>
    <w:rsid w:val="008B0D04"/>
    <w:rsid w:val="009621FF"/>
    <w:rsid w:val="009D167F"/>
    <w:rsid w:val="009E7247"/>
    <w:rsid w:val="00A24C58"/>
    <w:rsid w:val="00A24D10"/>
    <w:rsid w:val="00B31C0C"/>
    <w:rsid w:val="00B514FB"/>
    <w:rsid w:val="00B7259C"/>
    <w:rsid w:val="00B95990"/>
    <w:rsid w:val="00BE051D"/>
    <w:rsid w:val="00BE4A69"/>
    <w:rsid w:val="00C06CB1"/>
    <w:rsid w:val="00C63982"/>
    <w:rsid w:val="00C7632D"/>
    <w:rsid w:val="00D30CAF"/>
    <w:rsid w:val="00DB794C"/>
    <w:rsid w:val="00DF1798"/>
    <w:rsid w:val="00E648FE"/>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C06CB1"/>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666440123">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22072</Words>
  <Characters>125816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2019-11-11T08:11:00Z</cp:lastPrinted>
  <dcterms:created xsi:type="dcterms:W3CDTF">2019-11-01T09:56:00Z</dcterms:created>
  <dcterms:modified xsi:type="dcterms:W3CDTF">2020-01-17T15:50:00Z</dcterms:modified>
</cp:coreProperties>
</file>