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2A2F73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 xml:space="preserve">Дошкольное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F5FC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F5F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1F5FC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F5F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F5FC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384A4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384A4E" w:rsidRDefault="004A5CA6" w:rsidP="004A5CA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384A4E" w:rsidRDefault="004A5CA6" w:rsidP="004A5CA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384A4E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384A4E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384A4E" w:rsidRDefault="004A5CA6" w:rsidP="004A5CA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>Виды оценочных средств/</w:t>
            </w:r>
          </w:p>
          <w:p w:rsidR="004A5CA6" w:rsidRPr="00384A4E" w:rsidRDefault="004A5CA6" w:rsidP="004A5CA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4A5CA6" w:rsidRPr="00384A4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384A4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384A4E" w:rsidRDefault="004A5CA6" w:rsidP="004A5CA6">
            <w:pPr>
              <w:pStyle w:val="ReportMain"/>
              <w:widowControl w:val="0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Знать:</w:t>
            </w:r>
          </w:p>
          <w:p w:rsidR="004A5CA6" w:rsidRPr="00384A4E" w:rsidRDefault="004A5CA6" w:rsidP="00705DE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384A4E" w:rsidRDefault="004A5CA6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A –</w:t>
            </w:r>
            <w:r w:rsidRPr="00384A4E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4A5CA6" w:rsidRPr="00384A4E" w:rsidRDefault="004A5CA6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4A5CA6" w:rsidRPr="00384A4E" w:rsidTr="004A5CA6">
        <w:tc>
          <w:tcPr>
            <w:tcW w:w="3879" w:type="dxa"/>
            <w:vMerge/>
            <w:shd w:val="clear" w:color="auto" w:fill="auto"/>
          </w:tcPr>
          <w:p w:rsidR="004A5CA6" w:rsidRPr="00384A4E" w:rsidRDefault="004A5CA6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384A4E" w:rsidRDefault="004A5CA6" w:rsidP="004A5CA6">
            <w:pPr>
              <w:pStyle w:val="ReportMain"/>
              <w:widowControl w:val="0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Уметь:</w:t>
            </w:r>
          </w:p>
          <w:p w:rsidR="004A5CA6" w:rsidRPr="00384A4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proofErr w:type="gramStart"/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 w:rsidRPr="00384A4E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воспитательный процессы, учитывая</w:t>
            </w:r>
            <w:r w:rsidRPr="00384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возрастные,</w:t>
            </w:r>
            <w:r w:rsidRPr="00384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социальные и психофизические особенн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384A4E" w:rsidRDefault="004A5CA6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B –</w:t>
            </w:r>
            <w:r w:rsidRPr="00384A4E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4A5CA6" w:rsidRPr="00384A4E" w:rsidRDefault="004A5CA6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4A5CA6" w:rsidRPr="00384A4E" w:rsidTr="004A5CA6">
        <w:tc>
          <w:tcPr>
            <w:tcW w:w="3879" w:type="dxa"/>
            <w:vMerge/>
            <w:shd w:val="clear" w:color="auto" w:fill="auto"/>
          </w:tcPr>
          <w:p w:rsidR="004A5CA6" w:rsidRPr="00384A4E" w:rsidRDefault="004A5CA6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384A4E" w:rsidRDefault="004A5CA6" w:rsidP="004A5CA6">
            <w:pPr>
              <w:pStyle w:val="ReportMain"/>
              <w:widowControl w:val="0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Владеть:</w:t>
            </w:r>
          </w:p>
          <w:p w:rsidR="004A5CA6" w:rsidRPr="00384A4E" w:rsidRDefault="004A5CA6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384A4E" w:rsidRDefault="004A5CA6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C –</w:t>
            </w:r>
            <w:r w:rsidRPr="00384A4E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384A4E" w:rsidRDefault="004A5CA6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705DEE" w:rsidRPr="00384A4E" w:rsidTr="004A5CA6">
        <w:tc>
          <w:tcPr>
            <w:tcW w:w="3879" w:type="dxa"/>
            <w:vMerge w:val="restart"/>
            <w:shd w:val="clear" w:color="auto" w:fill="auto"/>
          </w:tcPr>
          <w:p w:rsidR="00705DEE" w:rsidRPr="00384A4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жизни и здоровья </w:t>
            </w:r>
            <w:proofErr w:type="gramStart"/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84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384A4E" w:rsidRDefault="00705DEE" w:rsidP="004A5CA6">
            <w:pPr>
              <w:pStyle w:val="ReportMain"/>
              <w:widowControl w:val="0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Знать:</w:t>
            </w:r>
          </w:p>
          <w:p w:rsidR="00705DEE" w:rsidRPr="00384A4E" w:rsidRDefault="00705DEE" w:rsidP="00705DE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>правила, методы и приемы обеспечения охраны жизни и здоровья обучающихся;</w:t>
            </w:r>
            <w:r w:rsidRPr="00384A4E">
              <w:rPr>
                <w:rFonts w:eastAsia="TimesNewRoman,Bold"/>
                <w:bCs/>
                <w:sz w:val="20"/>
                <w:szCs w:val="20"/>
              </w:rPr>
              <w:t xml:space="preserve"> анатомо-физиологические особенности систем органов; </w:t>
            </w:r>
            <w:r w:rsidRPr="00384A4E">
              <w:rPr>
                <w:sz w:val="20"/>
                <w:szCs w:val="20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A –</w:t>
            </w:r>
            <w:r w:rsidRPr="00384A4E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705DEE" w:rsidRPr="00384A4E" w:rsidRDefault="00705DEE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705DEE" w:rsidRPr="00384A4E" w:rsidTr="004A5CA6">
        <w:tc>
          <w:tcPr>
            <w:tcW w:w="3879" w:type="dxa"/>
            <w:vMerge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384A4E" w:rsidRDefault="00705DEE" w:rsidP="004A5CA6">
            <w:pPr>
              <w:pStyle w:val="ReportMain"/>
              <w:widowControl w:val="0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Уметь:</w:t>
            </w:r>
          </w:p>
          <w:p w:rsidR="00705DEE" w:rsidRPr="00384A4E" w:rsidRDefault="00705DEE" w:rsidP="00705DE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384A4E">
              <w:rPr>
                <w:sz w:val="20"/>
                <w:szCs w:val="20"/>
              </w:rPr>
              <w:t>обучающихся</w:t>
            </w:r>
            <w:proofErr w:type="gramEnd"/>
            <w:r w:rsidRPr="00384A4E">
              <w:rPr>
                <w:sz w:val="20"/>
                <w:szCs w:val="20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B –</w:t>
            </w:r>
            <w:r w:rsidRPr="00384A4E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705DEE" w:rsidRPr="00384A4E" w:rsidRDefault="00705DEE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705DEE" w:rsidRPr="00384A4E" w:rsidTr="004A5CA6">
        <w:tc>
          <w:tcPr>
            <w:tcW w:w="3879" w:type="dxa"/>
            <w:vMerge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384A4E" w:rsidRDefault="00705DEE" w:rsidP="004A5CA6">
            <w:pPr>
              <w:pStyle w:val="ReportMain"/>
              <w:widowControl w:val="0"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Владеть:</w:t>
            </w:r>
          </w:p>
          <w:p w:rsidR="00705DEE" w:rsidRPr="00384A4E" w:rsidRDefault="00705DEE" w:rsidP="004A5CA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384A4E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384A4E">
              <w:rPr>
                <w:sz w:val="20"/>
                <w:szCs w:val="20"/>
              </w:rPr>
              <w:t>обучающихся</w:t>
            </w:r>
            <w:proofErr w:type="gramEnd"/>
            <w:r w:rsidRPr="00384A4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C –</w:t>
            </w:r>
            <w:r w:rsidRPr="00384A4E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384A4E" w:rsidRDefault="00705DEE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705DEE" w:rsidRPr="00384A4E" w:rsidTr="004A5CA6">
        <w:tc>
          <w:tcPr>
            <w:tcW w:w="3879" w:type="dxa"/>
            <w:vMerge w:val="restart"/>
            <w:shd w:val="clear" w:color="auto" w:fill="auto"/>
          </w:tcPr>
          <w:p w:rsidR="00384A4E" w:rsidRPr="00384A4E" w:rsidRDefault="00384A4E" w:rsidP="0038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ПК-6 готовность к взаимодействию с уч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стниками образовательного процесса</w:t>
            </w:r>
          </w:p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384A4E" w:rsidRDefault="00705DEE" w:rsidP="00705DEE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Знать:</w:t>
            </w:r>
          </w:p>
          <w:p w:rsidR="00384A4E" w:rsidRPr="00384A4E" w:rsidRDefault="00384A4E" w:rsidP="00384A4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  <w:r w:rsidRPr="00384A4E">
              <w:rPr>
                <w:color w:val="auto"/>
                <w:sz w:val="20"/>
                <w:szCs w:val="20"/>
              </w:rPr>
              <w:t>особенности  педагогического общения; основ организации работы в коллективе (командной работы)</w:t>
            </w:r>
            <w:r w:rsidRPr="00384A4E">
              <w:rPr>
                <w:sz w:val="20"/>
                <w:szCs w:val="20"/>
              </w:rPr>
              <w:t>;</w:t>
            </w:r>
          </w:p>
          <w:p w:rsidR="00705DEE" w:rsidRPr="00384A4E" w:rsidRDefault="00705DEE" w:rsidP="00050847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05DEE" w:rsidRPr="00384A4E" w:rsidRDefault="00705DEE" w:rsidP="00050847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A –</w:t>
            </w:r>
            <w:r w:rsidRPr="00384A4E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705DEE" w:rsidRPr="00384A4E" w:rsidRDefault="00705DEE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705DEE" w:rsidRPr="00384A4E" w:rsidTr="004A5CA6">
        <w:tc>
          <w:tcPr>
            <w:tcW w:w="3879" w:type="dxa"/>
            <w:vMerge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384A4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384A4E" w:rsidRPr="00384A4E" w:rsidRDefault="00384A4E" w:rsidP="00384A4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осуществлять диалог и добиваться успеха в процессе ко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t xml:space="preserve">муникации; </w:t>
            </w:r>
            <w:r w:rsidRPr="0038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  <w:p w:rsidR="00705DEE" w:rsidRPr="00384A4E" w:rsidRDefault="00705DEE" w:rsidP="00050847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05DEE" w:rsidRPr="00384A4E" w:rsidRDefault="00705DEE" w:rsidP="00050847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lastRenderedPageBreak/>
              <w:t>Блок B –</w:t>
            </w:r>
            <w:r w:rsidRPr="00384A4E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705DEE" w:rsidRPr="00384A4E" w:rsidRDefault="00705DEE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705DEE" w:rsidRPr="00384A4E" w:rsidTr="004A5CA6">
        <w:tc>
          <w:tcPr>
            <w:tcW w:w="3879" w:type="dxa"/>
            <w:vMerge/>
            <w:shd w:val="clear" w:color="auto" w:fill="auto"/>
          </w:tcPr>
          <w:p w:rsidR="00705DEE" w:rsidRPr="00384A4E" w:rsidRDefault="00705DEE" w:rsidP="004A5CA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384A4E" w:rsidRDefault="00705DEE" w:rsidP="00705DEE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sz w:val="20"/>
                <w:szCs w:val="20"/>
                <w:u w:val="single"/>
              </w:rPr>
              <w:t>Владеть:</w:t>
            </w:r>
          </w:p>
          <w:p w:rsidR="00705DEE" w:rsidRPr="00384A4E" w:rsidRDefault="00384A4E" w:rsidP="00705DEE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384A4E">
              <w:rPr>
                <w:sz w:val="20"/>
                <w:szCs w:val="20"/>
              </w:rPr>
              <w:t>коммуникативными навыками, способами установления контактов и поддержания взаимодействия, обеспечивающ</w:t>
            </w:r>
            <w:r w:rsidRPr="00384A4E">
              <w:rPr>
                <w:sz w:val="20"/>
                <w:szCs w:val="20"/>
              </w:rPr>
              <w:t>и</w:t>
            </w:r>
            <w:r w:rsidRPr="00384A4E">
              <w:rPr>
                <w:sz w:val="20"/>
                <w:szCs w:val="20"/>
              </w:rPr>
              <w:t>ми успешную работу в коллективе; опытом работы в ко</w:t>
            </w:r>
            <w:r w:rsidRPr="00384A4E">
              <w:rPr>
                <w:sz w:val="20"/>
                <w:szCs w:val="20"/>
              </w:rPr>
              <w:t>л</w:t>
            </w:r>
            <w:r w:rsidRPr="00384A4E">
              <w:rPr>
                <w:sz w:val="20"/>
                <w:szCs w:val="20"/>
              </w:rPr>
              <w:t>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384A4E" w:rsidRDefault="00705DEE" w:rsidP="00050847">
            <w:pPr>
              <w:pStyle w:val="ReportMain"/>
              <w:suppressAutoHyphens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Блок C –</w:t>
            </w:r>
            <w:r w:rsidRPr="00384A4E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384A4E" w:rsidRDefault="00705DEE" w:rsidP="00050847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384A4E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</w:t>
      </w:r>
      <w:proofErr w:type="gramStart"/>
      <w:r w:rsidR="004B39F9" w:rsidRPr="00DF3D63">
        <w:rPr>
          <w:szCs w:val="28"/>
        </w:rPr>
        <w:t>,н</w:t>
      </w:r>
      <w:proofErr w:type="gramEnd"/>
      <w:r w:rsidR="004B39F9" w:rsidRPr="00DF3D63">
        <w:rPr>
          <w:szCs w:val="28"/>
        </w:rPr>
        <w:t>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иммунобиологической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050847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7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lastRenderedPageBreak/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  <w:r w:rsidR="00546E20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lastRenderedPageBreak/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lastRenderedPageBreak/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46E20" w:rsidRDefault="00546E20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6E20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546E20">
        <w:rPr>
          <w:rFonts w:ascii="Times New Roman" w:hAnsi="Times New Roman" w:cs="Times New Roman"/>
          <w:sz w:val="28"/>
          <w:szCs w:val="28"/>
        </w:rPr>
        <w:t>и</w:t>
      </w:r>
      <w:r w:rsidRPr="00546E20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lastRenderedPageBreak/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05084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050847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D4F5A" w:rsidRPr="001B7F08" w:rsidTr="00050847">
        <w:tc>
          <w:tcPr>
            <w:tcW w:w="2137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050847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47" w:rsidRDefault="00050847" w:rsidP="00CE176D">
      <w:pPr>
        <w:spacing w:after="0" w:line="240" w:lineRule="auto"/>
      </w:pPr>
      <w:r>
        <w:separator/>
      </w:r>
    </w:p>
  </w:endnote>
  <w:end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50847" w:rsidRDefault="001F66F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50847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84A4E">
          <w:rPr>
            <w:noProof/>
            <w:sz w:val="24"/>
          </w:rPr>
          <w:t>44</w:t>
        </w:r>
        <w:r w:rsidRPr="00CE176D">
          <w:rPr>
            <w:sz w:val="24"/>
          </w:rPr>
          <w:fldChar w:fldCharType="end"/>
        </w:r>
      </w:p>
    </w:sdtContent>
  </w:sdt>
  <w:p w:rsidR="00050847" w:rsidRDefault="00050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47" w:rsidRDefault="00050847" w:rsidP="00CE176D">
      <w:pPr>
        <w:spacing w:after="0" w:line="240" w:lineRule="auto"/>
      </w:pPr>
      <w:r>
        <w:separator/>
      </w:r>
    </w:p>
  </w:footnote>
  <w:footnote w:type="continuationSeparator" w:id="1">
    <w:p w:rsidR="00050847" w:rsidRDefault="0005084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50847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1F5FC0"/>
    <w:rsid w:val="001F66F2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84A4E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D72CC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46E20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06D64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1762E"/>
    <w:rsid w:val="00D219AC"/>
    <w:rsid w:val="00D35863"/>
    <w:rsid w:val="00D945DD"/>
    <w:rsid w:val="00D96463"/>
    <w:rsid w:val="00DA221B"/>
    <w:rsid w:val="00DA6566"/>
    <w:rsid w:val="00DB5C41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165D"/>
    <w:rsid w:val="00EB5E97"/>
    <w:rsid w:val="00EC385D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44</Pages>
  <Words>10390</Words>
  <Characters>59224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93</cp:revision>
  <cp:lastPrinted>2019-10-11T06:42:00Z</cp:lastPrinted>
  <dcterms:created xsi:type="dcterms:W3CDTF">2016-09-22T09:12:00Z</dcterms:created>
  <dcterms:modified xsi:type="dcterms:W3CDTF">2019-11-25T11:27:00Z</dcterms:modified>
</cp:coreProperties>
</file>