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7235E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DF0F6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620A6">
        <w:rPr>
          <w:sz w:val="24"/>
        </w:rPr>
        <w:t>20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A620A6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620A6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8B2216" w:rsidRPr="008B2216">
        <w:rPr>
          <w:rFonts w:ascii="Times New Roman" w:hAnsi="Times New Roman" w:cs="Times New Roman"/>
          <w:sz w:val="28"/>
          <w:szCs w:val="28"/>
        </w:rPr>
        <w:t>по подготовке к рубежному контролю;</w:t>
      </w:r>
      <w:r w:rsidR="008B22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Б</w:t>
      </w:r>
      <w:proofErr w:type="gramStart"/>
      <w:r w:rsidR="00F545E6" w:rsidRPr="00F545E6">
        <w:rPr>
          <w:rFonts w:ascii="Times New Roman" w:hAnsi="Times New Roman" w:cs="Times New Roman"/>
          <w:sz w:val="28"/>
        </w:rPr>
        <w:t>1</w:t>
      </w:r>
      <w:proofErr w:type="gramEnd"/>
      <w:r w:rsidR="00F545E6" w:rsidRPr="00F545E6">
        <w:rPr>
          <w:rFonts w:ascii="Times New Roman" w:hAnsi="Times New Roman" w:cs="Times New Roman"/>
          <w:sz w:val="28"/>
        </w:rPr>
        <w:t>.Д.Б.11 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073F" w:rsidRPr="001B39D8" w:rsidTr="001956A5">
        <w:tc>
          <w:tcPr>
            <w:tcW w:w="1101" w:type="dxa"/>
          </w:tcPr>
          <w:p w:rsidR="0059073F" w:rsidRPr="00E02DC5" w:rsidRDefault="0059073F" w:rsidP="003E32E9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59073F" w:rsidRPr="00E02DC5" w:rsidRDefault="0059073F" w:rsidP="003E32E9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59073F" w:rsidRPr="001B39D8" w:rsidRDefault="0059073F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073F" w:rsidRPr="001B39D8" w:rsidRDefault="0059073F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DF0F65" w:rsidRPr="00DF0F65" w:rsidTr="00DF0F6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F0F65" w:rsidRPr="00DF0F65" w:rsidTr="00DF0F6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DF0F65" w:rsidRPr="00DF0F65" w:rsidTr="00DF0F6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DF0F65" w:rsidRPr="00DF0F65" w:rsidTr="00DF0F6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</w:tr>
      <w:tr w:rsidR="00DF0F65" w:rsidRPr="00DF0F65" w:rsidTr="00DF0F6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 xml:space="preserve">- самоподготовка (проработка и повторение лекционного материала и </w:t>
            </w: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материала учебников и учебных пособий;</w:t>
            </w:r>
          </w:p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DF0F65" w:rsidRPr="00DF0F65" w:rsidRDefault="00DF0F65" w:rsidP="008B22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>- подготовка к рубежному контролю</w:t>
            </w:r>
            <w:r w:rsidR="008B2216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</w:t>
      </w:r>
      <w:r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Pr="00DF0F65" w:rsidRDefault="00E272D8" w:rsidP="00DF0F65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620A6" w:rsidRPr="000D6A21" w:rsidRDefault="00A620A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59073F" w:rsidRDefault="0059073F" w:rsidP="0059073F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59073F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59073F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59073F" w:rsidRPr="008D4D99" w:rsidRDefault="0059073F" w:rsidP="0059073F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lastRenderedPageBreak/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8B2216">
      <w:pPr>
        <w:spacing w:after="0" w:line="360" w:lineRule="auto"/>
        <w:ind w:righ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0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B97F5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2216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0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9073F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B2216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DF0F65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81D0-72E7-4A67-80F0-502BB34E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интернет</cp:lastModifiedBy>
  <cp:revision>37</cp:revision>
  <dcterms:created xsi:type="dcterms:W3CDTF">2017-12-04T08:54:00Z</dcterms:created>
  <dcterms:modified xsi:type="dcterms:W3CDTF">2019-12-27T07:53:00Z</dcterms:modified>
</cp:coreProperties>
</file>