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r>
        <w:rPr>
          <w:rFonts w:eastAsia="Times New Roman"/>
          <w:szCs w:val="28"/>
          <w:lang w:eastAsia="ru-RU"/>
        </w:rPr>
        <w:t>Минобрнауки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Кафедра биоэкологии и техносферной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3A083A" w:rsidRPr="006C6175" w:rsidRDefault="003A083A" w:rsidP="003A083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3A083A" w:rsidRPr="00E110A1" w:rsidRDefault="003A083A" w:rsidP="003A083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3A083A" w:rsidRPr="006C6175" w:rsidRDefault="003A083A" w:rsidP="003A083A">
      <w:pPr>
        <w:suppressAutoHyphens/>
        <w:spacing w:after="0" w:line="240" w:lineRule="auto"/>
        <w:jc w:val="center"/>
        <w:rPr>
          <w:i/>
          <w:sz w:val="28"/>
          <w:szCs w:val="28"/>
          <w:u w:val="single"/>
        </w:rPr>
      </w:pPr>
      <w:r w:rsidRPr="006C6175">
        <w:rPr>
          <w:i/>
          <w:sz w:val="28"/>
          <w:szCs w:val="28"/>
          <w:u w:val="single"/>
          <w:lang w:eastAsia="x-none"/>
        </w:rPr>
        <w:t>Биоэкология</w:t>
      </w:r>
    </w:p>
    <w:p w:rsidR="003A083A" w:rsidRPr="00E110A1" w:rsidRDefault="003A083A" w:rsidP="003A083A">
      <w:pPr>
        <w:jc w:val="center"/>
      </w:pPr>
      <w:r w:rsidRPr="00E110A1">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w:t>
      </w:r>
      <w:r w:rsidR="00393A1F">
        <w:rPr>
          <w:szCs w:val="28"/>
        </w:rPr>
        <w:t>20</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A083A" w:rsidRPr="003A083A">
        <w:rPr>
          <w:szCs w:val="28"/>
        </w:rPr>
        <w:t>06.03.01 Биология</w:t>
      </w:r>
      <w:r w:rsidR="003A083A">
        <w:rPr>
          <w:szCs w:val="28"/>
        </w:rPr>
        <w:t xml:space="preserve"> </w:t>
      </w:r>
      <w:r>
        <w:rPr>
          <w:szCs w:val="28"/>
          <w:lang w:val="x-none"/>
        </w:rPr>
        <w:t xml:space="preserve">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r>
        <w:rPr>
          <w:szCs w:val="28"/>
        </w:rPr>
        <w:t>биоэкологии и техносферной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393A1F" w:rsidRDefault="00393A1F" w:rsidP="00393A1F">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393A1F" w:rsidRDefault="00393A1F" w:rsidP="00393A1F">
      <w:pPr>
        <w:pStyle w:val="ReportHead"/>
        <w:tabs>
          <w:tab w:val="left" w:pos="10432"/>
        </w:tabs>
        <w:suppressAutoHyphens/>
        <w:ind w:firstLine="851"/>
        <w:jc w:val="both"/>
        <w:rPr>
          <w:i/>
          <w:szCs w:val="28"/>
          <w:u w:val="single"/>
        </w:rPr>
      </w:pPr>
    </w:p>
    <w:p w:rsidR="00393A1F" w:rsidRDefault="00393A1F" w:rsidP="00393A1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93A1F" w:rsidRDefault="00393A1F" w:rsidP="00393A1F">
      <w:pPr>
        <w:pStyle w:val="ReportHead"/>
        <w:tabs>
          <w:tab w:val="center" w:pos="6378"/>
          <w:tab w:val="left" w:pos="10432"/>
        </w:tabs>
        <w:suppressAutoHyphens/>
        <w:ind w:firstLine="851"/>
        <w:jc w:val="both"/>
        <w:rPr>
          <w:i/>
          <w:szCs w:val="28"/>
        </w:rPr>
      </w:pPr>
      <w:r>
        <w:rPr>
          <w:i/>
          <w:szCs w:val="28"/>
        </w:rPr>
        <w:t xml:space="preserve">Исполнитель:    </w:t>
      </w:r>
    </w:p>
    <w:p w:rsidR="00393A1F" w:rsidRDefault="00393A1F" w:rsidP="00393A1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 </w:t>
      </w:r>
    </w:p>
    <w:p w:rsidR="00393A1F" w:rsidRDefault="00393A1F" w:rsidP="00393A1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bookmarkStart w:id="1" w:name="_GoBack"/>
      <w:bookmarkEnd w:id="1"/>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lastRenderedPageBreak/>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lastRenderedPageBreak/>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430CE3"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430CE3">
        <w:rPr>
          <w:sz w:val="28"/>
        </w:rPr>
        <w:t>.</w:t>
      </w:r>
      <w:r w:rsidR="00AC6B4D" w:rsidRPr="00AC6B4D">
        <w:rPr>
          <w:sz w:val="28"/>
        </w:rPr>
        <w:t xml:space="preserve"> </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430CE3"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у</w:t>
      </w:r>
      <w:r w:rsidR="00430CE3">
        <w:rPr>
          <w:sz w:val="28"/>
        </w:rPr>
        <w:t>.</w:t>
      </w:r>
      <w:r w:rsidR="00AC6B4D" w:rsidRPr="00AC6B4D">
        <w:rPr>
          <w:sz w:val="28"/>
        </w:rPr>
        <w:t xml:space="preserve">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FA" w:rsidRDefault="002D39FA" w:rsidP="00A913D4">
      <w:pPr>
        <w:spacing w:after="0" w:line="240" w:lineRule="auto"/>
      </w:pPr>
      <w:r>
        <w:separator/>
      </w:r>
    </w:p>
  </w:endnote>
  <w:endnote w:type="continuationSeparator" w:id="0">
    <w:p w:rsidR="002D39FA" w:rsidRDefault="002D39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393A1F">
      <w:rPr>
        <w:noProof/>
      </w:rPr>
      <w:t>3</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FA" w:rsidRDefault="002D39FA" w:rsidP="00A913D4">
      <w:pPr>
        <w:spacing w:after="0" w:line="240" w:lineRule="auto"/>
      </w:pPr>
      <w:r>
        <w:separator/>
      </w:r>
    </w:p>
  </w:footnote>
  <w:footnote w:type="continuationSeparator" w:id="0">
    <w:p w:rsidR="002D39FA" w:rsidRDefault="002D39F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9F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3A1F"/>
    <w:rsid w:val="003A083A"/>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CE3"/>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4659761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1772-99D8-4FA4-850E-687F2C31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8193</Words>
  <Characters>46703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2019-11-04T19:56:00Z</cp:lastPrinted>
  <dcterms:created xsi:type="dcterms:W3CDTF">2020-01-27T09:52:00Z</dcterms:created>
  <dcterms:modified xsi:type="dcterms:W3CDTF">2020-01-27T09:52:00Z</dcterms:modified>
</cp:coreProperties>
</file>