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047758">
        <w:rPr>
          <w:b/>
          <w:bCs/>
          <w:sz w:val="28"/>
          <w:szCs w:val="28"/>
        </w:rPr>
        <w:t xml:space="preserve">Реализация </w:t>
      </w:r>
      <w:proofErr w:type="spellStart"/>
      <w:r w:rsidR="00047758">
        <w:rPr>
          <w:b/>
          <w:bCs/>
          <w:sz w:val="28"/>
          <w:szCs w:val="28"/>
        </w:rPr>
        <w:t>компетентностного</w:t>
      </w:r>
      <w:proofErr w:type="spellEnd"/>
      <w:r w:rsidR="00047758">
        <w:rPr>
          <w:b/>
          <w:bCs/>
          <w:sz w:val="28"/>
          <w:szCs w:val="28"/>
        </w:rPr>
        <w:t xml:space="preserve"> подхода в языковом и литературном образовании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D072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F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F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4339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</w:t>
      </w:r>
      <w:r w:rsidR="009F63B8">
        <w:rPr>
          <w:rFonts w:ascii="Times New Roman" w:eastAsia="Times New Roman" w:hAnsi="Times New Roman"/>
          <w:sz w:val="28"/>
          <w:szCs w:val="28"/>
        </w:rPr>
        <w:t>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оьразовании</w:t>
      </w:r>
      <w:proofErr w:type="spellEnd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8D7778" w:rsidRPr="00AA11C3">
        <w:rPr>
          <w:rFonts w:ascii="Times New Roman" w:hAnsi="Times New Roman"/>
          <w:sz w:val="28"/>
          <w:szCs w:val="28"/>
        </w:rPr>
        <w:t>у</w:t>
      </w:r>
      <w:r w:rsidR="008D7778" w:rsidRPr="00AA11C3">
        <w:rPr>
          <w:rFonts w:ascii="Times New Roman" w:hAnsi="Times New Roman"/>
          <w:sz w:val="28"/>
          <w:szCs w:val="28"/>
        </w:rPr>
        <w:t xml:space="preserve">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58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петентностного</w:t>
      </w:r>
      <w:proofErr w:type="spellEnd"/>
      <w:r w:rsidR="0004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языковом и литературном образовании</w:t>
      </w:r>
      <w:r w:rsidR="00047758">
        <w:rPr>
          <w:rFonts w:ascii="Times New Roman" w:eastAsia="Times New Roman" w:hAnsi="Times New Roman"/>
          <w:sz w:val="28"/>
          <w:szCs w:val="28"/>
        </w:rPr>
        <w:t>»</w:t>
      </w: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47758" w:rsidRDefault="00047758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758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9F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9F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2017</w:t>
      </w:r>
    </w:p>
    <w:p w:rsidR="00AF726C" w:rsidRPr="00047758" w:rsidRDefault="00A91AD6" w:rsidP="0004775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F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39D" w:rsidRDefault="004433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7758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языковой и литературной культуре как системе </w:t>
      </w:r>
      <w:r w:rsidR="002424BE">
        <w:rPr>
          <w:sz w:val="28"/>
          <w:szCs w:val="28"/>
        </w:rPr>
        <w:t>знаний, категорий и понятий представляет</w:t>
      </w:r>
      <w:r w:rsidR="00C1198F"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</w:t>
      </w:r>
      <w:r w:rsidR="00C1198F">
        <w:rPr>
          <w:sz w:val="28"/>
          <w:szCs w:val="28"/>
        </w:rPr>
        <w:t xml:space="preserve"> образовательных и восп</w:t>
      </w:r>
      <w:r w:rsidR="00C1198F">
        <w:rPr>
          <w:sz w:val="28"/>
          <w:szCs w:val="28"/>
        </w:rPr>
        <w:t>и</w:t>
      </w:r>
      <w:r w:rsidR="00C1198F">
        <w:rPr>
          <w:sz w:val="28"/>
          <w:szCs w:val="28"/>
        </w:rPr>
        <w:t>тательных</w:t>
      </w:r>
      <w:r w:rsidR="002424BE">
        <w:rPr>
          <w:sz w:val="28"/>
          <w:szCs w:val="28"/>
        </w:rPr>
        <w:t xml:space="preserve"> моделей</w:t>
      </w:r>
      <w:r w:rsidR="00C1198F"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 w:rsidR="00C1198F"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 w:rsidR="00C1198F">
        <w:rPr>
          <w:sz w:val="28"/>
          <w:szCs w:val="28"/>
        </w:rPr>
        <w:t xml:space="preserve"> и особенностям русского языка как достоянию н</w:t>
      </w:r>
      <w:r w:rsidR="00C1198F">
        <w:rPr>
          <w:sz w:val="28"/>
          <w:szCs w:val="28"/>
        </w:rPr>
        <w:t>а</w:t>
      </w:r>
      <w:r w:rsidR="00C1198F">
        <w:rPr>
          <w:sz w:val="28"/>
          <w:szCs w:val="28"/>
        </w:rPr>
        <w:t>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</w:t>
      </w:r>
      <w:r w:rsidR="002861B0">
        <w:rPr>
          <w:sz w:val="28"/>
          <w:szCs w:val="28"/>
        </w:rPr>
        <w:t>у</w:t>
      </w:r>
      <w:r w:rsidR="002861B0">
        <w:rPr>
          <w:sz w:val="28"/>
          <w:szCs w:val="28"/>
        </w:rPr>
        <w:t>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047758">
        <w:rPr>
          <w:sz w:val="28"/>
          <w:szCs w:val="28"/>
        </w:rPr>
        <w:t xml:space="preserve"> формирования языкового и литературного образования, </w:t>
      </w:r>
      <w:r w:rsidR="00E84A4D">
        <w:rPr>
          <w:sz w:val="28"/>
          <w:szCs w:val="28"/>
        </w:rPr>
        <w:t>т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ким образом, как свод знаний и академическая дисциплина фо</w:t>
      </w:r>
      <w:r>
        <w:rPr>
          <w:sz w:val="28"/>
          <w:szCs w:val="28"/>
        </w:rPr>
        <w:t>рмирует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лингвистического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</w:t>
      </w:r>
      <w:r w:rsidR="002A0B29">
        <w:rPr>
          <w:sz w:val="28"/>
          <w:szCs w:val="28"/>
        </w:rPr>
        <w:t xml:space="preserve"> методологического освоения действительности с по</w:t>
      </w:r>
      <w:r>
        <w:rPr>
          <w:sz w:val="28"/>
          <w:szCs w:val="28"/>
        </w:rPr>
        <w:t>мощью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ковой культуры</w:t>
      </w:r>
      <w:r w:rsidR="002A0B29">
        <w:rPr>
          <w:sz w:val="28"/>
          <w:szCs w:val="28"/>
        </w:rPr>
        <w:t>, адекватного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 литературном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</w:t>
      </w:r>
      <w:r w:rsidR="0010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3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формировании литературной речи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</w:t>
      </w:r>
      <w:r w:rsidR="00302A7D">
        <w:rPr>
          <w:rStyle w:val="FontStyle16"/>
          <w:sz w:val="28"/>
          <w:szCs w:val="28"/>
        </w:rPr>
        <w:t xml:space="preserve"> и его роли в формировании языка литературных произведений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учебным дисц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плинам (русский язык) в начальной школе. Методика русского языка пом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теоретические  и пра</w:t>
      </w:r>
      <w:r w:rsidRPr="00363BE3">
        <w:rPr>
          <w:sz w:val="28"/>
          <w:szCs w:val="28"/>
        </w:rPr>
        <w:t>к</w:t>
      </w:r>
      <w:r w:rsidRPr="00363BE3">
        <w:rPr>
          <w:sz w:val="28"/>
          <w:szCs w:val="28"/>
        </w:rPr>
        <w:t>тические знания в области преподавания русского языка как предмета школьного обучения.</w:t>
      </w:r>
    </w:p>
    <w:p w:rsidR="00C403AB" w:rsidRDefault="00C403AB" w:rsidP="00C403AB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8"/>
        </w:rPr>
        <w:t xml:space="preserve">Задачи дисциплины определяется формированием обучающегося как языковой личности, владеющей коммуникативными тактиками в устной и письменных формах, ориентированной на речевую деятельность во всех сферах общественной жизни для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задач межличностного и межкультурного взаимодействия;</w:t>
      </w:r>
      <w:proofErr w:type="gramEnd"/>
      <w:r>
        <w:rPr>
          <w:sz w:val="24"/>
          <w:szCs w:val="24"/>
        </w:rPr>
        <w:t xml:space="preserve"> умением обучающегося</w:t>
      </w:r>
      <w:r>
        <w:rPr>
          <w:bCs/>
          <w:iCs/>
          <w:sz w:val="24"/>
          <w:szCs w:val="28"/>
        </w:rPr>
        <w:t xml:space="preserve"> разумно сочетать традиционные и современные подходы к преподаванию русского языка и литературы,   создание условий для успешного   использования конкретных знаний  в решении проблем реализации и социализации личности; </w:t>
      </w:r>
      <w:r>
        <w:rPr>
          <w:bCs/>
          <w:sz w:val="24"/>
          <w:szCs w:val="24"/>
        </w:rPr>
        <w:t xml:space="preserve"> изучением содержания и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назначения разного рода компетенций профессиональной деятельности</w:t>
      </w:r>
      <w:r>
        <w:rPr>
          <w:sz w:val="24"/>
          <w:szCs w:val="24"/>
        </w:rPr>
        <w:t xml:space="preserve">; использования 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риентированного подхода в теоретической и практической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Б.1.В.ОД.12 Теория литературы и практика читательской деятельности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729CC" w:rsidRDefault="001729CC" w:rsidP="001729C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1729CC" w:rsidTr="001729C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современного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критерии, требования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значимость и  особенности проектирования индивидуальных образовательных маршруты обучающихся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применять, активно и целесообразно использовать в педагогической практике возможности проектирования индивидуальных образовательных маршрутов обучающихся для решения соответствующих  задач профессиональной деятельности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 xml:space="preserve">педагогическими возможностями вариативного использования обучающих и воспитывающих результатов  проектирования </w:t>
            </w:r>
            <w:r>
              <w:rPr>
                <w:rFonts w:eastAsia="Times New Roman"/>
              </w:rPr>
              <w:t>индивидуальные образовательные маршруты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способностью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бразовательный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 контексте осуществления требований к образовательному и воспитательному процессу начального общего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образования</w:t>
            </w:r>
          </w:p>
          <w:p w:rsidR="001729CC" w:rsidRDefault="001729CC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 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ПК-2 способностью использовать современные методы и технологии обучения и диагностики</w:t>
            </w:r>
          </w:p>
        </w:tc>
      </w:tr>
    </w:tbl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94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693"/>
        <w:gridCol w:w="1416"/>
        <w:gridCol w:w="1416"/>
        <w:gridCol w:w="1416"/>
      </w:tblGrid>
      <w:tr w:rsidR="001729CC" w:rsidTr="001729CC">
        <w:trPr>
          <w:tblHeader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729CC" w:rsidTr="001729CC">
        <w:trPr>
          <w:tblHeader/>
        </w:trPr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1729CC" w:rsidTr="001729CC"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729CC" w:rsidTr="001729CC"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t>Разделы дисциплины, изучаемые в 9 семестре</w:t>
      </w:r>
    </w:p>
    <w:tbl>
      <w:tblPr>
        <w:tblpPr w:leftFromText="180" w:rightFromText="180" w:vertAnchor="text" w:horzAnchor="margin" w:tblpXSpec="center" w:tblpY="17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 w:rsidP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Современные аспекты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Ключевые или </w:t>
            </w:r>
            <w:proofErr w:type="spellStart"/>
            <w:r>
              <w:rPr>
                <w:rFonts w:eastAsia="Times New Roman"/>
              </w:rPr>
              <w:t>метапредметные</w:t>
            </w:r>
            <w:proofErr w:type="spellEnd"/>
            <w:r>
              <w:rPr>
                <w:rFonts w:eastAsia="Times New Roman"/>
              </w:rPr>
              <w:t xml:space="preserve">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1729CC" w:rsidTr="001729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 w:rsidP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</w:tbl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szCs w:val="20"/>
        </w:rPr>
      </w:pPr>
    </w:p>
    <w:p w:rsidR="001729CC" w:rsidRDefault="001729CC" w:rsidP="001729CC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10 семестре</w:t>
      </w:r>
    </w:p>
    <w:p w:rsidR="001729CC" w:rsidRDefault="001729CC" w:rsidP="001729C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729CC" w:rsidTr="001729CC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729CC" w:rsidTr="001729C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Общепредметные</w:t>
            </w:r>
            <w:proofErr w:type="spellEnd"/>
            <w:r>
              <w:rPr>
                <w:rFonts w:eastAsia="Times New Roman"/>
                <w:szCs w:val="24"/>
              </w:rPr>
              <w:t xml:space="preserve"> компетенции.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Предметные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Технологии  реализации </w:t>
            </w:r>
            <w:proofErr w:type="spellStart"/>
            <w:r>
              <w:rPr>
                <w:rFonts w:eastAsia="Times New Roman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1729CC" w:rsidTr="00172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</w:tbl>
    <w:p w:rsidR="001729CC" w:rsidRPr="00C403AB" w:rsidRDefault="001729CC" w:rsidP="00C403AB">
      <w:pPr>
        <w:ind w:firstLine="709"/>
        <w:jc w:val="both"/>
        <w:rPr>
          <w:sz w:val="24"/>
          <w:szCs w:val="24"/>
        </w:rPr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lastRenderedPageBreak/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7F0D8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тие темы, в этом и проявится четкость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107390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азие украшений речи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анадиаплодис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(вместе с вами мы прожили), усиливающие степень контакта с аудиторией.</w:t>
      </w:r>
      <w:proofErr w:type="gramEnd"/>
    </w:p>
    <w:p w:rsidR="00A9504F" w:rsidRDefault="00A9504F" w:rsidP="001073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мер, 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ункционал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ный стиль – взаимодействие официально-делового с публицистическим (х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рактеристика/ доказательство с учетом языковых средств).</w:t>
      </w:r>
      <w:proofErr w:type="gramEnd"/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10739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10739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107390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</w:t>
      </w:r>
      <w:r w:rsidR="00107390">
        <w:rPr>
          <w:sz w:val="27"/>
          <w:szCs w:val="27"/>
        </w:rPr>
        <w:t xml:space="preserve">овной идеи, рассеивать внимание.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</w:t>
      </w:r>
      <w:r w:rsidR="00107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F0D82" w:rsidRDefault="007F0D82" w:rsidP="007F0D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tbl>
      <w:tblPr>
        <w:tblW w:w="1085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707"/>
        <w:gridCol w:w="1135"/>
        <w:gridCol w:w="6693"/>
        <w:gridCol w:w="1316"/>
      </w:tblGrid>
      <w:tr w:rsidR="007F0D82" w:rsidTr="007F0D82">
        <w:trPr>
          <w:tblHeader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 xml:space="preserve">Идея 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характера содержания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Cs/>
              </w:rPr>
              <w:t>Ценностно-смысловые компетенции.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szCs w:val="24"/>
              </w:rPr>
              <w:t>Процесс социализации личности средствами родного языка в современном информационно-гуманитарном образовательном пространстве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Реализации </w:t>
            </w:r>
            <w:proofErr w:type="spellStart"/>
            <w:r>
              <w:rPr>
                <w:szCs w:val="24"/>
              </w:rPr>
              <w:t>компетентностного</w:t>
            </w:r>
            <w:proofErr w:type="spellEnd"/>
            <w:r>
              <w:rPr>
                <w:szCs w:val="24"/>
              </w:rPr>
              <w:t xml:space="preserve"> подхода в языковом и литературном образовании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7F0D82" w:rsidTr="007F0D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2" w:rsidRDefault="007F0D82">
            <w:pPr>
              <w:pStyle w:val="ReportMain"/>
              <w:suppressAutoHyphens/>
              <w:jc w:val="center"/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2" w:rsidRDefault="007F0D82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7F0D82" w:rsidRDefault="007F0D82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7F0D8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7F0D82" w:rsidRPr="007F0D82">
        <w:rPr>
          <w:rFonts w:eastAsia="Times New Roman"/>
          <w:szCs w:val="28"/>
        </w:rPr>
        <w:t xml:space="preserve"> </w:t>
      </w:r>
      <w:r w:rsidR="007F0D82">
        <w:t xml:space="preserve">Идея </w:t>
      </w:r>
      <w:proofErr w:type="spellStart"/>
      <w:r w:rsidR="007F0D82">
        <w:t>деятельностного</w:t>
      </w:r>
      <w:proofErr w:type="spellEnd"/>
      <w:r w:rsidR="007F0D82">
        <w:t xml:space="preserve"> характера содержания образ</w:t>
      </w:r>
      <w:r w:rsidR="007F0D82">
        <w:t>о</w:t>
      </w:r>
      <w:r w:rsidR="007F0D82">
        <w:t>вания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AC1419" w:rsidRPr="00AC1419">
        <w:rPr>
          <w:rFonts w:ascii="Calibri" w:eastAsia="Times New Roman" w:hAnsi="Calibri"/>
        </w:rPr>
        <w:t xml:space="preserve">К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7F0D82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7F0D82">
        <w:rPr>
          <w:rFonts w:ascii="Calibri" w:eastAsia="Times New Roman" w:hAnsi="Calibri"/>
        </w:rPr>
        <w:t>.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7F0D82">
        <w:rPr>
          <w:szCs w:val="24"/>
        </w:rPr>
        <w:t>К-2,4,9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bCs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7F0D82" w:rsidRPr="007F0D82">
        <w:rPr>
          <w:bCs/>
        </w:rPr>
        <w:t xml:space="preserve"> </w:t>
      </w:r>
      <w:r w:rsidR="007F0D82">
        <w:rPr>
          <w:bCs/>
        </w:rPr>
        <w:t>Ценностно-смысловые компетенции.</w:t>
      </w:r>
    </w:p>
    <w:p w:rsidR="00374083" w:rsidRDefault="00374083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Компетенции, обеспечивающие механизм самоопредел</w:t>
      </w:r>
      <w:r>
        <w:t>е</w:t>
      </w:r>
      <w:r>
        <w:t>ния ученика в ситуациях учебной и иной деятельности. Индивидуальная образовательная траектория ученика и программа его жизнедеятельности в целом.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lastRenderedPageBreak/>
        <w:t xml:space="preserve">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</w:t>
      </w:r>
      <w:r w:rsidR="00CB373D">
        <w:rPr>
          <w:rFonts w:eastAsia="Times New Roman"/>
          <w:szCs w:val="28"/>
        </w:rPr>
        <w:t>е</w:t>
      </w:r>
      <w:r w:rsidR="00CB373D">
        <w:rPr>
          <w:rFonts w:eastAsia="Times New Roman"/>
          <w:szCs w:val="28"/>
        </w:rPr>
        <w:t>ском образовании в контексте личностно ориентированного подхода. Принцип сознател</w:t>
      </w:r>
      <w:r w:rsidR="00CB373D">
        <w:rPr>
          <w:rFonts w:eastAsia="Times New Roman"/>
          <w:szCs w:val="28"/>
        </w:rPr>
        <w:t>ь</w:t>
      </w:r>
      <w:r w:rsidR="00CB373D">
        <w:rPr>
          <w:rFonts w:eastAsia="Times New Roman"/>
          <w:szCs w:val="28"/>
        </w:rPr>
        <w:t>ности и активности учащихся в обучении. Принцип доступности обучения. Принцип 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Лексико-семантический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374083">
        <w:t>4,9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Pr="00481AA9" w:rsidRDefault="00FF3D43" w:rsidP="0037408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374083" w:rsidRPr="00374083">
        <w:t xml:space="preserve"> </w:t>
      </w:r>
      <w:r w:rsidR="00374083">
        <w:t>Процесс социализации личности средствами родного языка в современном информационно-гуманитарном образовательном пространстве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74083" w:rsidRDefault="001F392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Опыт социальных связей и эффективность обучающей деятельности. Поведенческие характеристики личности как условие результативности процесса социализации  в группе. Включение обучающегося в тот или иной вид совместной деятельности посредством яз</w:t>
      </w:r>
      <w:r>
        <w:t>ы</w:t>
      </w:r>
      <w:r>
        <w:t>ковой и речевой реализации по подготовке и реализации урочной и внеурочной работы Процесс становления личности в социуме в ходе осуществления языкового и литерату</w:t>
      </w:r>
      <w:r>
        <w:t>р</w:t>
      </w:r>
      <w:r>
        <w:t>ного образования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</w:t>
      </w:r>
      <w:r w:rsidR="001F3923">
        <w:t>ся формирование компетенций ПК-4</w:t>
      </w:r>
      <w:r w:rsidR="003313C5">
        <w:t>,ПК-2</w:t>
      </w:r>
      <w:r w:rsidR="001F3923">
        <w:t>,ПК-9.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1F3923" w:rsidRPr="001F3923">
        <w:t xml:space="preserve"> </w:t>
      </w:r>
      <w:r w:rsidR="001F3923">
        <w:t xml:space="preserve">Реализации </w:t>
      </w:r>
      <w:proofErr w:type="spellStart"/>
      <w:r w:rsidR="001F3923">
        <w:t>компетентностного</w:t>
      </w:r>
      <w:proofErr w:type="spellEnd"/>
      <w:r w:rsidR="001F3923">
        <w:t xml:space="preserve"> подхода в языковом и литературном образовании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F3923" w:rsidRDefault="001F3923" w:rsidP="001F3923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 Уровни внутренней речи. Уровень внешней речи. Анализ актов коммуникации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 как </w:t>
      </w:r>
      <w:proofErr w:type="spellStart"/>
      <w:r>
        <w:t>многоуровая</w:t>
      </w:r>
      <w:proofErr w:type="spellEnd"/>
      <w:r>
        <w:t xml:space="preserve"> система знаков.</w:t>
      </w:r>
    </w:p>
    <w:p w:rsidR="003313C5" w:rsidRPr="00D21867" w:rsidRDefault="00D21867" w:rsidP="001F3923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Принципы деления частей речи: семантический, морфологический, синтаксический.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тоды формирования морфологических понятий. Метод наблюдения над фактами языка. Морфологический разбор. Метод реко</w:t>
      </w:r>
      <w:r w:rsidR="00122E1C"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 xml:space="preserve">струкции. </w:t>
      </w:r>
      <w:r w:rsidR="001F3923">
        <w:rPr>
          <w:rFonts w:ascii="Calibri" w:eastAsia="Times New Roman" w:hAnsi="Calibri"/>
        </w:rPr>
        <w:t xml:space="preserve">Система работы над </w:t>
      </w:r>
      <w:r w:rsidR="00CE4793">
        <w:rPr>
          <w:rFonts w:ascii="Calibri" w:eastAsia="Times New Roman" w:hAnsi="Calibri"/>
        </w:rPr>
        <w:t>актом</w:t>
      </w:r>
      <w:r w:rsidR="00122E1C">
        <w:rPr>
          <w:rFonts w:ascii="Calibri" w:eastAsia="Times New Roman" w:hAnsi="Calibri"/>
        </w:rPr>
        <w:t xml:space="preserve"> речи</w:t>
      </w:r>
      <w:r w:rsidR="00CE4793">
        <w:rPr>
          <w:rFonts w:ascii="Calibri" w:eastAsia="Times New Roman" w:hAnsi="Calibri"/>
        </w:rPr>
        <w:t xml:space="preserve"> и его целесообразным использованием</w:t>
      </w:r>
      <w:r w:rsidR="00122E1C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CE4793">
        <w:rPr>
          <w:szCs w:val="24"/>
        </w:rPr>
        <w:t>,2,9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82" w:rsidRDefault="007F0D82" w:rsidP="00817BE6">
      <w:pPr>
        <w:spacing w:after="0" w:line="240" w:lineRule="auto"/>
      </w:pPr>
      <w:r>
        <w:separator/>
      </w:r>
    </w:p>
  </w:endnote>
  <w:endnote w:type="continuationSeparator" w:id="0">
    <w:p w:rsidR="007F0D82" w:rsidRDefault="007F0D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F0D82" w:rsidRDefault="00F115AB">
        <w:pPr>
          <w:pStyle w:val="a7"/>
          <w:jc w:val="center"/>
        </w:pPr>
        <w:fldSimple w:instr="PAGE   \* MERGEFORMAT">
          <w:r w:rsidR="009F63B8">
            <w:rPr>
              <w:noProof/>
            </w:rPr>
            <w:t>3</w:t>
          </w:r>
        </w:fldSimple>
      </w:p>
    </w:sdtContent>
  </w:sdt>
  <w:p w:rsidR="007F0D82" w:rsidRDefault="007F0D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82" w:rsidRDefault="007F0D82" w:rsidP="00817BE6">
      <w:pPr>
        <w:spacing w:after="0" w:line="240" w:lineRule="auto"/>
      </w:pPr>
      <w:r>
        <w:separator/>
      </w:r>
    </w:p>
  </w:footnote>
  <w:footnote w:type="continuationSeparator" w:id="0">
    <w:p w:rsidR="007F0D82" w:rsidRDefault="007F0D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47758"/>
    <w:rsid w:val="00051396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07390"/>
    <w:rsid w:val="00122E1C"/>
    <w:rsid w:val="001335BA"/>
    <w:rsid w:val="00151C92"/>
    <w:rsid w:val="00152D7F"/>
    <w:rsid w:val="00153024"/>
    <w:rsid w:val="001575FA"/>
    <w:rsid w:val="00163B1E"/>
    <w:rsid w:val="001729CC"/>
    <w:rsid w:val="00173C89"/>
    <w:rsid w:val="001A6D1C"/>
    <w:rsid w:val="001B1A33"/>
    <w:rsid w:val="001C60C5"/>
    <w:rsid w:val="001D7710"/>
    <w:rsid w:val="001E0C46"/>
    <w:rsid w:val="001F3923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2A7D"/>
    <w:rsid w:val="00316051"/>
    <w:rsid w:val="003313C5"/>
    <w:rsid w:val="00333814"/>
    <w:rsid w:val="00345519"/>
    <w:rsid w:val="00357989"/>
    <w:rsid w:val="00360111"/>
    <w:rsid w:val="00360FB2"/>
    <w:rsid w:val="00363BE3"/>
    <w:rsid w:val="00372F64"/>
    <w:rsid w:val="00374083"/>
    <w:rsid w:val="00383876"/>
    <w:rsid w:val="00387003"/>
    <w:rsid w:val="003A1DA9"/>
    <w:rsid w:val="003B0BD1"/>
    <w:rsid w:val="003D2372"/>
    <w:rsid w:val="003E5D3B"/>
    <w:rsid w:val="003F4EDA"/>
    <w:rsid w:val="00400ABA"/>
    <w:rsid w:val="00400ABF"/>
    <w:rsid w:val="004037EE"/>
    <w:rsid w:val="0044339D"/>
    <w:rsid w:val="00464917"/>
    <w:rsid w:val="00477D55"/>
    <w:rsid w:val="00481AA9"/>
    <w:rsid w:val="0048716F"/>
    <w:rsid w:val="0049342A"/>
    <w:rsid w:val="00496FDC"/>
    <w:rsid w:val="004C473C"/>
    <w:rsid w:val="004C4B80"/>
    <w:rsid w:val="004C6058"/>
    <w:rsid w:val="004D7C28"/>
    <w:rsid w:val="004E31B6"/>
    <w:rsid w:val="0050038B"/>
    <w:rsid w:val="0052236C"/>
    <w:rsid w:val="005364C3"/>
    <w:rsid w:val="00541469"/>
    <w:rsid w:val="00560E61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0F78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0193"/>
    <w:rsid w:val="007C13B4"/>
    <w:rsid w:val="007C37D2"/>
    <w:rsid w:val="007E6160"/>
    <w:rsid w:val="007F0D82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9F63B8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61205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6C88"/>
    <w:rsid w:val="00C07CA2"/>
    <w:rsid w:val="00C1198F"/>
    <w:rsid w:val="00C403AB"/>
    <w:rsid w:val="00C53504"/>
    <w:rsid w:val="00C57AA9"/>
    <w:rsid w:val="00C70920"/>
    <w:rsid w:val="00C83122"/>
    <w:rsid w:val="00C92FDE"/>
    <w:rsid w:val="00CA2AEC"/>
    <w:rsid w:val="00CA3E82"/>
    <w:rsid w:val="00CB373D"/>
    <w:rsid w:val="00CC3EDC"/>
    <w:rsid w:val="00CE2CD7"/>
    <w:rsid w:val="00CE4793"/>
    <w:rsid w:val="00D04EE7"/>
    <w:rsid w:val="00D0721B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219"/>
    <w:rsid w:val="00E847AC"/>
    <w:rsid w:val="00E84A4D"/>
    <w:rsid w:val="00E85676"/>
    <w:rsid w:val="00EC45E6"/>
    <w:rsid w:val="00EE28C3"/>
    <w:rsid w:val="00EF0B65"/>
    <w:rsid w:val="00F023A0"/>
    <w:rsid w:val="00F115AB"/>
    <w:rsid w:val="00F14392"/>
    <w:rsid w:val="00F1559F"/>
    <w:rsid w:val="00F35CB3"/>
    <w:rsid w:val="00F46FAD"/>
    <w:rsid w:val="00F70680"/>
    <w:rsid w:val="00F71BDD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D734-8E2C-45B8-B89B-A05417A8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27</Pages>
  <Words>8060</Words>
  <Characters>45945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85</cp:revision>
  <cp:lastPrinted>2019-10-14T08:20:00Z</cp:lastPrinted>
  <dcterms:created xsi:type="dcterms:W3CDTF">2016-10-09T16:26:00Z</dcterms:created>
  <dcterms:modified xsi:type="dcterms:W3CDTF">2019-11-02T06:37:00Z</dcterms:modified>
</cp:coreProperties>
</file>