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9C58D2" w:rsidRPr="009C58D2" w:rsidRDefault="009C58D2" w:rsidP="009C58D2">
      <w:pPr>
        <w:pStyle w:val="ReportHead"/>
        <w:spacing w:line="360" w:lineRule="auto"/>
        <w:rPr>
          <w:i/>
          <w:szCs w:val="28"/>
        </w:rPr>
      </w:pPr>
      <w:r w:rsidRPr="009C58D2">
        <w:rPr>
          <w:i/>
          <w:szCs w:val="28"/>
        </w:rPr>
        <w:t>«Б</w:t>
      </w:r>
      <w:proofErr w:type="gramStart"/>
      <w:r w:rsidRPr="009C58D2">
        <w:rPr>
          <w:i/>
          <w:szCs w:val="28"/>
        </w:rPr>
        <w:t>1</w:t>
      </w:r>
      <w:proofErr w:type="gramEnd"/>
      <w:r w:rsidRPr="009C58D2">
        <w:rPr>
          <w:i/>
          <w:szCs w:val="28"/>
        </w:rPr>
        <w:t>.Д.В.Э.9.2 Экология популяций и сообществ»</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4F240E">
        <w:rPr>
          <w:i/>
          <w:szCs w:val="28"/>
          <w:u w:val="single"/>
        </w:rPr>
        <w:t>медицина</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61A1">
        <w:rPr>
          <w:szCs w:val="28"/>
        </w:rPr>
        <w:t>2021</w:t>
      </w:r>
    </w:p>
    <w:p w:rsidR="008D4D99" w:rsidRPr="006454D5" w:rsidRDefault="009C58D2" w:rsidP="004A5996">
      <w:pPr>
        <w:pStyle w:val="ReportMain"/>
        <w:suppressAutoHyphens/>
        <w:jc w:val="both"/>
        <w:rPr>
          <w:sz w:val="28"/>
          <w:szCs w:val="28"/>
        </w:rPr>
      </w:pPr>
      <w:proofErr w:type="gramStart"/>
      <w:r>
        <w:rPr>
          <w:sz w:val="28"/>
        </w:rPr>
        <w:lastRenderedPageBreak/>
        <w:t>Экология популяций и сообществ</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proofErr w:type="gramEnd"/>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8F61A1">
        <w:rPr>
          <w:sz w:val="28"/>
          <w:szCs w:val="28"/>
        </w:rPr>
        <w:t>2021</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61A1">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9C58D2">
        <w:rPr>
          <w:rFonts w:ascii="Times New Roman" w:hAnsi="Times New Roman" w:cs="Times New Roman"/>
          <w:sz w:val="28"/>
        </w:rPr>
        <w:t>Экология популяций и сообществ</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6472DB">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8130556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9C58D2">
        <w:rPr>
          <w:rFonts w:ascii="Times New Roman" w:hAnsi="Times New Roman" w:cs="Times New Roman"/>
          <w:sz w:val="28"/>
        </w:rPr>
        <w:t>Экология популяций и сообществ</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9C58D2">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81305561"/>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9C58D2">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6" w:name="_Toc8130556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8130556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403A0">
        <w:rPr>
          <w:color w:val="auto"/>
          <w:sz w:val="28"/>
          <w:szCs w:val="28"/>
        </w:rPr>
        <w:t>д</w:t>
      </w:r>
      <w:r w:rsidRPr="00D55040">
        <w:rPr>
          <w:color w:val="auto"/>
          <w:sz w:val="28"/>
          <w:szCs w:val="28"/>
        </w:rPr>
        <w:t>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1"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1"/>
      <w:r w:rsidR="00281AE0" w:rsidRPr="0082553E">
        <w:t xml:space="preserve"> </w:t>
      </w:r>
      <w:bookmarkEnd w:id="10"/>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Выполнение </w:t>
      </w:r>
      <w:r w:rsidR="008F61A1">
        <w:rPr>
          <w:sz w:val="28"/>
          <w:szCs w:val="28"/>
        </w:rPr>
        <w:t>практических</w:t>
      </w:r>
      <w:r w:rsidR="008F61A1">
        <w:t xml:space="preserve"> </w:t>
      </w:r>
      <w:r w:rsidRPr="00446EAC">
        <w:rPr>
          <w:sz w:val="28"/>
          <w:szCs w:val="28"/>
        </w:rPr>
        <w:t xml:space="preserve">работ направлено </w:t>
      </w:r>
      <w:proofErr w:type="gramStart"/>
      <w:r w:rsidRPr="00446EAC">
        <w:rPr>
          <w:sz w:val="28"/>
          <w:szCs w:val="28"/>
        </w:rPr>
        <w:t>на</w:t>
      </w:r>
      <w:proofErr w:type="gramEnd"/>
      <w:r w:rsidRPr="00446EAC">
        <w:rPr>
          <w:sz w:val="28"/>
          <w:szCs w:val="28"/>
        </w:rPr>
        <w:t>:</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9C58D2"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lastRenderedPageBreak/>
        <w:t>Экология популяций и сообществ</w:t>
      </w:r>
      <w:proofErr w:type="gramStart"/>
      <w:r w:rsidR="006A2B17" w:rsidRPr="006A2B17">
        <w:rPr>
          <w:rFonts w:ascii="Times New Roman" w:hAnsi="Times New Roman"/>
          <w:sz w:val="28"/>
        </w:rPr>
        <w:t xml:space="preserve"> :</w:t>
      </w:r>
      <w:proofErr w:type="gramEnd"/>
      <w:r w:rsidR="006A2B17" w:rsidRPr="006A2B17">
        <w:rPr>
          <w:rFonts w:ascii="Times New Roman" w:hAnsi="Times New Roman"/>
          <w:sz w:val="28"/>
        </w:rPr>
        <w:t xml:space="preserve">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w:t>
      </w:r>
      <w:proofErr w:type="spellStart"/>
      <w:r w:rsidR="006A2B17" w:rsidRPr="006A2B17">
        <w:rPr>
          <w:rFonts w:ascii="Times New Roman" w:hAnsi="Times New Roman"/>
          <w:sz w:val="28"/>
          <w:szCs w:val="28"/>
        </w:rPr>
        <w:t>Щебланова</w:t>
      </w:r>
      <w:proofErr w:type="spellEnd"/>
      <w:r w:rsidR="006A2B17" w:rsidRPr="006A2B17">
        <w:rPr>
          <w:rFonts w:ascii="Times New Roman" w:hAnsi="Times New Roman"/>
          <w:sz w:val="28"/>
          <w:szCs w:val="28"/>
        </w:rPr>
        <w:t xml:space="preserve">. -  </w:t>
      </w:r>
      <w:proofErr w:type="spellStart"/>
      <w:r w:rsidR="006A2B17" w:rsidRPr="006A2B17">
        <w:rPr>
          <w:rFonts w:ascii="Times New Roman" w:hAnsi="Times New Roman"/>
          <w:sz w:val="28"/>
          <w:szCs w:val="28"/>
        </w:rPr>
        <w:t>Бузулукский</w:t>
      </w:r>
      <w:proofErr w:type="spellEnd"/>
      <w:r w:rsidR="006A2B17" w:rsidRPr="006A2B17">
        <w:rPr>
          <w:rFonts w:ascii="Times New Roman" w:hAnsi="Times New Roman"/>
          <w:sz w:val="28"/>
          <w:szCs w:val="28"/>
        </w:rPr>
        <w:t xml:space="preserve"> </w:t>
      </w:r>
      <w:proofErr w:type="gramStart"/>
      <w:r w:rsidR="006A2B17" w:rsidRPr="004B36C8">
        <w:rPr>
          <w:rFonts w:ascii="Times New Roman" w:hAnsi="Times New Roman"/>
          <w:sz w:val="28"/>
          <w:szCs w:val="28"/>
        </w:rPr>
        <w:t>гуманитарно-технолог</w:t>
      </w:r>
      <w:proofErr w:type="gramEnd"/>
      <w:r w:rsidR="006A2B17" w:rsidRPr="004B36C8">
        <w:rPr>
          <w:rFonts w:ascii="Times New Roman" w:hAnsi="Times New Roman"/>
          <w:sz w:val="28"/>
          <w:szCs w:val="28"/>
        </w:rPr>
        <w:t>. ин-т (филиал) ОГУ. – Бузулук</w:t>
      </w:r>
      <w:proofErr w:type="gramStart"/>
      <w:r w:rsidR="006A2B17" w:rsidRPr="004B36C8">
        <w:rPr>
          <w:rFonts w:ascii="Times New Roman" w:hAnsi="Times New Roman"/>
          <w:sz w:val="28"/>
          <w:szCs w:val="28"/>
        </w:rPr>
        <w:t xml:space="preserve"> :</w:t>
      </w:r>
      <w:proofErr w:type="gramEnd"/>
      <w:r w:rsidR="006A2B17" w:rsidRPr="004B36C8">
        <w:rPr>
          <w:rFonts w:ascii="Times New Roman" w:hAnsi="Times New Roman"/>
          <w:sz w:val="28"/>
          <w:szCs w:val="28"/>
        </w:rPr>
        <w:t xml:space="preserve"> БГТИ (филиал) ОГУ, </w:t>
      </w:r>
      <w:r w:rsidR="008F61A1">
        <w:rPr>
          <w:rFonts w:ascii="Times New Roman" w:hAnsi="Times New Roman"/>
          <w:sz w:val="28"/>
          <w:szCs w:val="28"/>
        </w:rPr>
        <w:t>2021</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9C58D2">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2" w:name="_Toc81305565"/>
      <w:r>
        <w:t>3.</w:t>
      </w:r>
      <w:r w:rsidR="00445D61">
        <w:t>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2"/>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3" w:name="_Toc387548"/>
      <w:bookmarkStart w:id="14" w:name="_Toc459799"/>
      <w:bookmarkStart w:id="15" w:name="_Toc459837"/>
      <w:bookmarkStart w:id="16" w:name="_Toc624678"/>
      <w:bookmarkStart w:id="17" w:name="_Toc2002695"/>
      <w:bookmarkStart w:id="18" w:name="_Toc15425689"/>
      <w:bookmarkStart w:id="19" w:name="_Toc81305566"/>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3"/>
      <w:bookmarkEnd w:id="14"/>
      <w:bookmarkEnd w:id="15"/>
      <w:bookmarkEnd w:id="16"/>
      <w:bookmarkEnd w:id="17"/>
      <w:bookmarkEnd w:id="18"/>
      <w:bookmarkEnd w:id="19"/>
    </w:p>
    <w:p w:rsidR="00445D61" w:rsidRDefault="00445D61" w:rsidP="00DA5DAD">
      <w:pPr>
        <w:pStyle w:val="1"/>
        <w:rPr>
          <w:b w:val="0"/>
        </w:rPr>
      </w:pPr>
      <w:bookmarkStart w:id="20" w:name="_Toc536703849"/>
      <w:bookmarkStart w:id="21" w:name="_Toc534396314"/>
      <w:bookmarkEnd w:id="5"/>
    </w:p>
    <w:p w:rsidR="00DA5DAD" w:rsidRPr="006030D2" w:rsidRDefault="00E13917" w:rsidP="00DA5DAD">
      <w:pPr>
        <w:pStyle w:val="1"/>
      </w:pPr>
      <w:bookmarkStart w:id="22"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0"/>
      <w:bookmarkEnd w:id="22"/>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3" w:name="_Toc81305568"/>
      <w:r w:rsidRPr="00E07E76">
        <w:rPr>
          <w:sz w:val="32"/>
        </w:rPr>
        <w:t>4 Контроль и управление самостоятельной работой студентов</w:t>
      </w:r>
      <w:bookmarkEnd w:id="21"/>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C58D2">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5" w:name="_Toc534396315"/>
      <w:bookmarkStart w:id="26" w:name="_Toc534403054"/>
      <w:bookmarkStart w:id="27" w:name="_Toc534660599"/>
      <w:bookmarkStart w:id="28" w:name="_Toc536535796"/>
      <w:bookmarkStart w:id="29" w:name="_Toc536640397"/>
      <w:bookmarkStart w:id="30" w:name="_Toc536703858"/>
    </w:p>
    <w:p w:rsidR="0096693E" w:rsidRPr="002D6466" w:rsidRDefault="0096693E" w:rsidP="0096693E">
      <w:pPr>
        <w:pStyle w:val="1"/>
        <w:spacing w:before="0" w:after="0" w:line="360" w:lineRule="auto"/>
        <w:ind w:left="0"/>
        <w:rPr>
          <w:rFonts w:cs="Times New Roman"/>
          <w:b w:val="0"/>
          <w:bCs w:val="0"/>
          <w:szCs w:val="28"/>
        </w:rPr>
      </w:pPr>
      <w:bookmarkStart w:id="31" w:name="_Toc81305569"/>
      <w:r w:rsidRPr="002D6466">
        <w:rPr>
          <w:rFonts w:cs="Times New Roman"/>
          <w:b w:val="0"/>
          <w:bCs w:val="0"/>
          <w:szCs w:val="28"/>
        </w:rPr>
        <w:t>Таблица 1 - Критерии оценки тестирования</w:t>
      </w:r>
      <w:bookmarkEnd w:id="25"/>
      <w:bookmarkEnd w:id="26"/>
      <w:bookmarkEnd w:id="27"/>
      <w:bookmarkEnd w:id="28"/>
      <w:bookmarkEnd w:id="29"/>
      <w:bookmarkEnd w:id="30"/>
      <w:bookmarkEnd w:id="31"/>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4"/>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bookmarkStart w:id="32" w:name="_GoBack"/>
      <w:bookmarkEnd w:id="32"/>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DB" w:rsidRDefault="006472DB" w:rsidP="00FF0076">
      <w:pPr>
        <w:spacing w:after="0" w:line="240" w:lineRule="auto"/>
      </w:pPr>
      <w:r>
        <w:separator/>
      </w:r>
    </w:p>
  </w:endnote>
  <w:endnote w:type="continuationSeparator" w:id="0">
    <w:p w:rsidR="006472DB" w:rsidRDefault="006472D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9C58D2">
          <w:rPr>
            <w:rFonts w:ascii="Times New Roman" w:hAnsi="Times New Roman" w:cs="Times New Roman"/>
            <w:noProof/>
            <w:sz w:val="24"/>
          </w:rPr>
          <w:t>20</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DB" w:rsidRDefault="006472DB" w:rsidP="00FF0076">
      <w:pPr>
        <w:spacing w:after="0" w:line="240" w:lineRule="auto"/>
      </w:pPr>
      <w:r>
        <w:separator/>
      </w:r>
    </w:p>
  </w:footnote>
  <w:footnote w:type="continuationSeparator" w:id="0">
    <w:p w:rsidR="006472DB" w:rsidRDefault="006472D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4501"/>
    <w:rsid w:val="006454D5"/>
    <w:rsid w:val="006472DB"/>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94464A"/>
    <w:rsid w:val="00965433"/>
    <w:rsid w:val="0096693E"/>
    <w:rsid w:val="009838CD"/>
    <w:rsid w:val="009B25D1"/>
    <w:rsid w:val="009C0237"/>
    <w:rsid w:val="009C58D2"/>
    <w:rsid w:val="009F5F78"/>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80BF-48A9-4A99-9ECE-D1A8658C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68</cp:revision>
  <cp:lastPrinted>2019-10-08T14:17:00Z</cp:lastPrinted>
  <dcterms:created xsi:type="dcterms:W3CDTF">2017-01-18T09:17:00Z</dcterms:created>
  <dcterms:modified xsi:type="dcterms:W3CDTF">2021-09-09T07:52:00Z</dcterms:modified>
</cp:coreProperties>
</file>