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4E7282">
        <w:rPr>
          <w:rFonts w:ascii="Times New Roman" w:hAnsi="Times New Roman"/>
          <w:i/>
          <w:szCs w:val="28"/>
        </w:rPr>
        <w:t>13</w:t>
      </w:r>
      <w:r w:rsidR="00750D53" w:rsidRPr="00750D53">
        <w:rPr>
          <w:rFonts w:ascii="Times New Roman" w:hAnsi="Times New Roman"/>
          <w:i/>
          <w:szCs w:val="28"/>
        </w:rPr>
        <w:t xml:space="preserve"> </w:t>
      </w:r>
      <w:r w:rsidR="004E7282">
        <w:rPr>
          <w:rFonts w:ascii="Times New Roman" w:hAnsi="Times New Roman"/>
          <w:i/>
          <w:szCs w:val="28"/>
        </w:rPr>
        <w:t>Усиление строительных конструкций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562421">
        <w:rPr>
          <w:rFonts w:ascii="Times New Roman" w:hAnsi="Times New Roman"/>
          <w:szCs w:val="28"/>
        </w:rPr>
        <w:t>2</w:t>
      </w:r>
      <w:r w:rsidR="009F27C6">
        <w:rPr>
          <w:rFonts w:ascii="Times New Roman" w:hAnsi="Times New Roman"/>
          <w:szCs w:val="28"/>
        </w:rPr>
        <w:t>1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4E7282" w:rsidRPr="004E7282">
        <w:rPr>
          <w:rFonts w:ascii="Times New Roman" w:hAnsi="Times New Roman"/>
          <w:szCs w:val="28"/>
        </w:rPr>
        <w:t>Б1.Д.В.13 Усиление строительных конструкций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9F27C6" w:rsidRPr="009F27C6">
        <w:rPr>
          <w:rFonts w:ascii="Times New Roman" w:hAnsi="Times New Roman"/>
          <w:szCs w:val="20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>иал) ОГУ, 20</w:t>
      </w:r>
      <w:r w:rsidR="00562421">
        <w:rPr>
          <w:rFonts w:ascii="Times New Roman" w:hAnsi="Times New Roman"/>
          <w:szCs w:val="28"/>
        </w:rPr>
        <w:t>2</w:t>
      </w:r>
      <w:r w:rsidR="009F27C6">
        <w:rPr>
          <w:rFonts w:ascii="Times New Roman" w:hAnsi="Times New Roman"/>
          <w:szCs w:val="28"/>
        </w:rPr>
        <w:t>1</w:t>
      </w:r>
      <w:r w:rsidRPr="00EB31BF">
        <w:rPr>
          <w:rFonts w:ascii="Times New Roman" w:hAnsi="Times New Roman"/>
          <w:szCs w:val="28"/>
        </w:rPr>
        <w:t xml:space="preserve">.- </w:t>
      </w:r>
      <w:r w:rsidR="00FB0BAC">
        <w:rPr>
          <w:rFonts w:ascii="Times New Roman" w:hAnsi="Times New Roman"/>
          <w:szCs w:val="28"/>
        </w:rPr>
        <w:t>10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4E7282" w:rsidRPr="004E7282">
        <w:rPr>
          <w:rFonts w:ascii="Times New Roman" w:hAnsi="Times New Roman"/>
          <w:sz w:val="28"/>
          <w:szCs w:val="28"/>
        </w:rPr>
        <w:t>Б1.Д.В.13 Усил</w:t>
      </w:r>
      <w:r w:rsidR="004E7282" w:rsidRPr="004E7282">
        <w:rPr>
          <w:rFonts w:ascii="Times New Roman" w:hAnsi="Times New Roman"/>
          <w:sz w:val="28"/>
          <w:szCs w:val="28"/>
        </w:rPr>
        <w:t>е</w:t>
      </w:r>
      <w:r w:rsidR="004E7282" w:rsidRPr="004E7282">
        <w:rPr>
          <w:rFonts w:ascii="Times New Roman" w:hAnsi="Times New Roman"/>
          <w:sz w:val="28"/>
          <w:szCs w:val="28"/>
        </w:rPr>
        <w:t>ние строительных конструкций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D14D1A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D14D1A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D14D1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D14D1A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D14D1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D14D1A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D14D1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D14D1A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FB0BAC">
        <w:rPr>
          <w:b w:val="0"/>
          <w:sz w:val="28"/>
          <w:szCs w:val="28"/>
        </w:rPr>
        <w:t>расчетно-графического</w:t>
      </w:r>
      <w:r w:rsidR="00337816">
        <w:rPr>
          <w:b w:val="0"/>
          <w:sz w:val="28"/>
          <w:szCs w:val="28"/>
        </w:rPr>
        <w:t xml:space="preserve"> зад</w:t>
      </w:r>
      <w:r w:rsidR="00337816">
        <w:rPr>
          <w:b w:val="0"/>
          <w:sz w:val="28"/>
          <w:szCs w:val="28"/>
        </w:rPr>
        <w:t>а</w:t>
      </w:r>
      <w:r w:rsidR="00337816">
        <w:rPr>
          <w:b w:val="0"/>
          <w:sz w:val="28"/>
          <w:szCs w:val="28"/>
        </w:rPr>
        <w:t>ния…………………………………………………….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D14D1A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4E7282" w:rsidRDefault="00EB31BF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студентов знаний правильной оценки технического состояния строительных конструкций и на основании этой оценки уметь принять решение о способе и методе усиления конструкции, отвечающее требованиям эксплуатационной надежности, те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нологичности, экономичности и долговечности, и выполнить проект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 умение оценивать техническое состояние строительных конструкций; умение выбирать, обосновывая свой выбор, материал для элементов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конструкций и рациональный способ усиления строительных констру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ций; умение определять усилия в конструкциях, подлежащих усилению; пр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ектировать усиление строительных конструкций; владеть навыками расчета усиления строительных конструкций.</w:t>
      </w:r>
    </w:p>
    <w:p w:rsidR="00750D53" w:rsidRPr="00750D53" w:rsidRDefault="00750D53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Задачи:  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оценки технического состояния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расчета остаточной несущей способности;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методы и способы усиления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 составление расчетных схем усиливаемых конструкций с учетом изменения их опирания, сопряжения и составление проектной документации на усиливаемые конструкции.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</w:t>
      </w:r>
      <w:r w:rsidRPr="00EB31BF">
        <w:rPr>
          <w:rFonts w:ascii="Times New Roman" w:hAnsi="Times New Roman"/>
          <w:sz w:val="28"/>
          <w:szCs w:val="28"/>
        </w:rPr>
        <w:lastRenderedPageBreak/>
        <w:t>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lastRenderedPageBreak/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4E7282">
        <w:rPr>
          <w:rFonts w:ascii="Times New Roman" w:hAnsi="Times New Roman"/>
          <w:sz w:val="28"/>
          <w:szCs w:val="28"/>
        </w:rPr>
        <w:t xml:space="preserve">расчетно-графического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изученного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циях и учебно-методической литературе. Это способствует актуализации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D6601C" w:rsidRPr="00D6601C" w:rsidRDefault="00D6601C" w:rsidP="00D6601C">
      <w:pPr>
        <w:pStyle w:val="210"/>
        <w:numPr>
          <w:ilvl w:val="1"/>
          <w:numId w:val="10"/>
        </w:numPr>
        <w:tabs>
          <w:tab w:val="left" w:pos="1276"/>
        </w:tabs>
        <w:ind w:left="0" w:right="-2" w:firstLine="709"/>
        <w:jc w:val="both"/>
      </w:pPr>
      <w:r>
        <w:t xml:space="preserve"> </w:t>
      </w:r>
      <w:r w:rsidRPr="00D6601C">
        <w:t xml:space="preserve">Методические </w:t>
      </w:r>
      <w:r>
        <w:t>указания</w:t>
      </w:r>
      <w:r w:rsidRPr="00D6601C">
        <w:t xml:space="preserve"> по выполнению </w:t>
      </w:r>
      <w:r w:rsidR="004E7282">
        <w:t>расчетно-графического</w:t>
      </w:r>
      <w:r w:rsidRPr="00D6601C">
        <w:rPr>
          <w:spacing w:val="-1"/>
        </w:rPr>
        <w:t xml:space="preserve"> </w:t>
      </w:r>
      <w:r w:rsidRPr="00D6601C">
        <w:t>задания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Расчетно-графическое задание является формой проверки самосто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тельной работы студентов очной формы обучения. В РГЗ студент должен п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казать: прочные теоретические знания по избранной теме и проблемное и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>ложение теоретического материала; умение изучать, анализировать и обо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щать литературные источники, делать выводы и предложения.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Общими требованиями к работе являются: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lastRenderedPageBreak/>
        <w:t>- убедительность аргументаций;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Объем работы – 18-25 листов  печатного текста. Работа выполняется согласно задания по вариантам. Текст выполняется на листах формата А4 (210х297 мм), с применением печатающих и графических устройств вывода информации из ЭВМ (ГОСТ 2.004).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На компьютере текст должен быть оформлен в текстовом редакторе </w:t>
      </w:r>
      <w:r w:rsidRPr="004E7282">
        <w:rPr>
          <w:rFonts w:ascii="Times New Roman" w:hAnsi="Times New Roman"/>
          <w:sz w:val="28"/>
          <w:szCs w:val="28"/>
          <w:lang w:val="en-US"/>
        </w:rPr>
        <w:t>Word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for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Windows</w:t>
      </w:r>
      <w:r w:rsidRPr="004E7282">
        <w:rPr>
          <w:rFonts w:ascii="Times New Roman" w:hAnsi="Times New Roman"/>
          <w:sz w:val="28"/>
          <w:szCs w:val="28"/>
        </w:rPr>
        <w:t xml:space="preserve"> версии не ниже 6.0.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Тип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282">
        <w:rPr>
          <w:rFonts w:ascii="Times New Roman" w:hAnsi="Times New Roman"/>
          <w:sz w:val="28"/>
          <w:szCs w:val="28"/>
        </w:rPr>
        <w:t>шрифта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: Times New Roman Cyr. </w:t>
      </w:r>
      <w:r w:rsidRPr="004E7282">
        <w:rPr>
          <w:rFonts w:ascii="Times New Roman" w:hAnsi="Times New Roman"/>
          <w:sz w:val="28"/>
          <w:szCs w:val="28"/>
        </w:rPr>
        <w:t>Шрифт основного цвета: обы</w:t>
      </w:r>
      <w:r w:rsidRPr="004E7282">
        <w:rPr>
          <w:rFonts w:ascii="Times New Roman" w:hAnsi="Times New Roman"/>
          <w:sz w:val="28"/>
          <w:szCs w:val="28"/>
        </w:rPr>
        <w:t>ч</w:t>
      </w:r>
      <w:r w:rsidRPr="004E7282">
        <w:rPr>
          <w:rFonts w:ascii="Times New Roman" w:hAnsi="Times New Roman"/>
          <w:sz w:val="28"/>
          <w:szCs w:val="28"/>
        </w:rPr>
        <w:t>ный, размер 14пт. Шрифт заголовков разделов: полужирный, размер 16пт. Шрифт заголовков подразделов полужирный, размер 14пт.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Межсимвольный интервал: обычный, межстрочный – одинарный.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Текст работы выполняется на листах с рамкой, соблюдая следующие размеры полей: левое 20 мм, правое 5 мм, верхнее 5 мм, нижнее 5 мм.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>ную нумерацию по всему тексту. Номер страницы проставляют в правом нижнем углу углового штампа. Контрольная работа должна содержать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дующие структурные элементы: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титульный лист;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содержание (1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основная часть  (14-21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список использованных источников (1 стр).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Все основные структурные элементы должны начинаться с новой страницы. </w:t>
      </w:r>
    </w:p>
    <w:p w:rsidR="004E7282" w:rsidRPr="004E7282" w:rsidRDefault="004E7282" w:rsidP="004E7282">
      <w:pPr>
        <w:shd w:val="clear" w:color="auto" w:fill="FFFFFF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Разделы основного текста должны иметь порядковые номера в пред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 xml:space="preserve">лах всей работы, обозначенные арабскими цифрами без точки и записанные с абзацного отступа. 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Подразделы должны иметь нумерацию в пределах каждого раздела. Номера состоят из номеров и подраздела, разделенных точкой. В конце н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мера подраздела точка не ставится. Например: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1.1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1.2 нумерация подразделов  первого 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1.3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 xml:space="preserve">Подразделы могут состоять из пунктов, номера которых состоят из номеров раздела, подраздела и пункта, разделенных точками. Например: 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2.1.1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2.1.2 нумерация пунктов первого подраздела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2.1.3 второго раздела</w:t>
      </w:r>
    </w:p>
    <w:p w:rsidR="004E7282" w:rsidRPr="004E7282" w:rsidRDefault="004E7282" w:rsidP="004E7282">
      <w:pPr>
        <w:shd w:val="clear" w:color="auto" w:fill="FFFFFF"/>
        <w:tabs>
          <w:tab w:val="left" w:pos="190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раздел или подраздел состоят из одного пункта, он также нум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>руется.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текст пункта, раздела содержит менее двух страниц, его пункт или раздел не выделяются. Не разрешается размещать заголовки и подзаг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lastRenderedPageBreak/>
        <w:t>ловки в нижней части страницы, если на ней не более 4 - 5 строк последу</w:t>
      </w:r>
      <w:r w:rsidRPr="004E7282">
        <w:rPr>
          <w:rFonts w:ascii="Times New Roman" w:hAnsi="Times New Roman"/>
          <w:color w:val="000000"/>
          <w:sz w:val="28"/>
          <w:szCs w:val="28"/>
        </w:rPr>
        <w:t>ю</w:t>
      </w:r>
      <w:r w:rsidRPr="004E7282">
        <w:rPr>
          <w:rFonts w:ascii="Times New Roman" w:hAnsi="Times New Roman"/>
          <w:color w:val="000000"/>
          <w:sz w:val="28"/>
          <w:szCs w:val="28"/>
        </w:rPr>
        <w:t>щего текста.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Внутри пунктов или подпунктов могут приводиться перечисления. При этом перед каждой позицией перечисления следует ставить дефис или строчную букву со скобкой в случае, когда в тексте приводятся ссылки на одно из перечислений. Для дальнейшей детализации перечислений испол</w:t>
      </w:r>
      <w:r w:rsidRPr="004E7282">
        <w:rPr>
          <w:rFonts w:ascii="Times New Roman" w:hAnsi="Times New Roman"/>
          <w:color w:val="000000"/>
          <w:sz w:val="28"/>
          <w:szCs w:val="28"/>
        </w:rPr>
        <w:t>ь</w:t>
      </w:r>
      <w:r w:rsidRPr="004E7282">
        <w:rPr>
          <w:rFonts w:ascii="Times New Roman" w:hAnsi="Times New Roman"/>
          <w:color w:val="000000"/>
          <w:sz w:val="28"/>
          <w:szCs w:val="28"/>
        </w:rPr>
        <w:t>зуют  арабские цифры со скобкой. Во всех случаях запись перечислений пр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изводится с абзацного отступа.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Наименования разделов должно быть краткими. Наименование зап</w:t>
      </w:r>
      <w:r w:rsidRPr="004E7282">
        <w:rPr>
          <w:rFonts w:ascii="Times New Roman" w:hAnsi="Times New Roman"/>
          <w:color w:val="000000"/>
          <w:sz w:val="28"/>
          <w:szCs w:val="28"/>
        </w:rPr>
        <w:t>и</w:t>
      </w:r>
      <w:r w:rsidRPr="004E7282">
        <w:rPr>
          <w:rFonts w:ascii="Times New Roman" w:hAnsi="Times New Roman"/>
          <w:color w:val="000000"/>
          <w:sz w:val="28"/>
          <w:szCs w:val="28"/>
        </w:rPr>
        <w:t>сы</w:t>
      </w:r>
      <w:r w:rsidRPr="004E7282">
        <w:rPr>
          <w:rFonts w:ascii="Times New Roman" w:hAnsi="Times New Roman"/>
          <w:color w:val="000000"/>
          <w:sz w:val="28"/>
          <w:szCs w:val="28"/>
        </w:rPr>
        <w:softHyphen/>
        <w:t>вают с прописной буквы с абзацного отступа, с первой прописной буквы без точки в конце. Аналогично записываются наименования подразделов и пунктов. Переносы слов в заголовках не допускаются. Точку в конце 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ловка не ставят. Если заголовок состоит из двух предложений, их разделяют точкой.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Таблицы применяют для лучшей наглядности и удобства сравнения показателей. Таблицы нумеруются арабскими цифрами сквозной нумерац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ей. Единицы измерения, общие для всей таблицы, проставляют справа над таблицей. В остальных случаях для наименования единиц измерения отв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дится специальная графа, либо они проставляются в заголовках соответств</w:t>
      </w:r>
      <w:r w:rsidRPr="004E7282">
        <w:rPr>
          <w:rFonts w:ascii="Times New Roman" w:hAnsi="Times New Roman"/>
          <w:sz w:val="28"/>
          <w:szCs w:val="28"/>
        </w:rPr>
        <w:t>у</w:t>
      </w:r>
      <w:r w:rsidRPr="004E7282">
        <w:rPr>
          <w:rFonts w:ascii="Times New Roman" w:hAnsi="Times New Roman"/>
          <w:sz w:val="28"/>
          <w:szCs w:val="28"/>
        </w:rPr>
        <w:t>ющих граф.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Наименование таблицы приводится один раз над таблицей. Если та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лица не помещается на одной странице, то на следующей странице делается надпись, например: «Продолжение таблицы 1.2 (без наименования табл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цы)», выполненная с абзацного отступа.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Допускается помещать таблицы вдоль длинной стороны листа с с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блюдением верхнего и правого полей страницы.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Графы таблицы допускается нумеровать для облегчения ссылок в р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шении задач, а также при переносе таблицы на следующую страницу. Графу «Номер по порядку» в таблицу включать не рекомендуется.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таблицах допускается уменьшение номера шрифта до 12 (цифровых показателей – до 10), а также допускается изменение межстрочного рассто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ния.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Графический материал – рисунки, схемы, диаграммы и т.п. следует располагать после текста, в котором о нем упоминается впервые, или на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дующей странице. Графический материал следует нумеровать арабскими цифрами аналогично нумерации таблиц.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Примеры – Рисунок 1.2, Рисунок 3.3, Рисунок 4.1 и т.д.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 графический материал должна быть дана ссылка в тексте. Напр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мер: «в соответствии с рисунком 1.2».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конце РГЗ указывается список используемой литературы. При в</w:t>
      </w:r>
      <w:r w:rsidRPr="004E7282">
        <w:rPr>
          <w:rFonts w:ascii="Times New Roman" w:hAnsi="Times New Roman"/>
          <w:sz w:val="28"/>
          <w:szCs w:val="28"/>
        </w:rPr>
        <w:t>ы</w:t>
      </w:r>
      <w:r w:rsidRPr="004E7282">
        <w:rPr>
          <w:rFonts w:ascii="Times New Roman" w:hAnsi="Times New Roman"/>
          <w:sz w:val="28"/>
          <w:szCs w:val="28"/>
        </w:rPr>
        <w:t xml:space="preserve">полнении работы нужно использовать не менее </w:t>
      </w:r>
      <w:r>
        <w:rPr>
          <w:rFonts w:ascii="Times New Roman" w:hAnsi="Times New Roman"/>
          <w:sz w:val="28"/>
          <w:szCs w:val="28"/>
        </w:rPr>
        <w:t>10</w:t>
      </w:r>
      <w:r w:rsidRPr="004E7282">
        <w:rPr>
          <w:rFonts w:ascii="Times New Roman" w:hAnsi="Times New Roman"/>
          <w:sz w:val="28"/>
          <w:szCs w:val="28"/>
        </w:rPr>
        <w:t xml:space="preserve"> источников.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lastRenderedPageBreak/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4E7282">
        <w:rPr>
          <w:rFonts w:ascii="Times New Roman" w:hAnsi="Times New Roman"/>
          <w:sz w:val="28"/>
          <w:szCs w:val="28"/>
        </w:rPr>
        <w:t>расчетно-графическое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</w:t>
      </w:r>
      <w:r w:rsidR="00AF0584" w:rsidRPr="00EB31BF">
        <w:rPr>
          <w:rFonts w:ascii="Times New Roman" w:hAnsi="Times New Roman"/>
          <w:sz w:val="28"/>
          <w:szCs w:val="28"/>
        </w:rPr>
        <w:t>а</w:t>
      </w:r>
      <w:r w:rsidR="00AF0584" w:rsidRPr="00EB31BF">
        <w:rPr>
          <w:rFonts w:ascii="Times New Roman" w:hAnsi="Times New Roman"/>
          <w:sz w:val="28"/>
          <w:szCs w:val="28"/>
        </w:rPr>
        <w:t>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1A" w:rsidRDefault="00D14D1A" w:rsidP="00D06FB8">
      <w:pPr>
        <w:spacing w:after="0" w:line="240" w:lineRule="auto"/>
      </w:pPr>
      <w:r>
        <w:separator/>
      </w:r>
    </w:p>
  </w:endnote>
  <w:endnote w:type="continuationSeparator" w:id="0">
    <w:p w:rsidR="00D14D1A" w:rsidRDefault="00D14D1A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9F27C6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1A" w:rsidRDefault="00D14D1A" w:rsidP="00D06FB8">
      <w:pPr>
        <w:spacing w:after="0" w:line="240" w:lineRule="auto"/>
      </w:pPr>
      <w:r>
        <w:separator/>
      </w:r>
    </w:p>
  </w:footnote>
  <w:footnote w:type="continuationSeparator" w:id="0">
    <w:p w:rsidR="00D14D1A" w:rsidRDefault="00D14D1A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62421"/>
    <w:rsid w:val="00570680"/>
    <w:rsid w:val="00582C5B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27C6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14D1A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18179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13</cp:revision>
  <cp:lastPrinted>2019-10-22T08:05:00Z</cp:lastPrinted>
  <dcterms:created xsi:type="dcterms:W3CDTF">2019-09-18T08:06:00Z</dcterms:created>
  <dcterms:modified xsi:type="dcterms:W3CDTF">2021-11-19T09:29:00Z</dcterms:modified>
</cp:coreProperties>
</file>