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466C0B" w:rsidP="00D036BE">
      <w:pPr>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2020</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p>
    <w:p w:rsidR="00466C0B" w:rsidRDefault="00466C0B" w:rsidP="00A4614B">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Декан факультета экономики и права</w:t>
      </w:r>
    </w:p>
    <w:p w:rsidR="00A4614B" w:rsidRPr="00A4614B" w:rsidRDefault="00BD1EBD" w:rsidP="00A4614B">
      <w:pPr>
        <w:tabs>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 xml:space="preserve"> </w:t>
      </w:r>
      <w:r w:rsidR="00A4614B" w:rsidRPr="00A4614B">
        <w:rPr>
          <w:rFonts w:ascii="Times New Roman" w:eastAsia="Calibri" w:hAnsi="Times New Roman" w:cs="Times New Roman"/>
          <w:sz w:val="28"/>
          <w:szCs w:val="24"/>
        </w:rPr>
        <w:t>________________________________________________</w:t>
      </w:r>
      <w:r w:rsidR="00466C0B" w:rsidRPr="00466C0B">
        <w:rPr>
          <w:rFonts w:ascii="Times New Roman" w:eastAsia="Calibri" w:hAnsi="Times New Roman" w:cs="Times New Roman"/>
          <w:sz w:val="28"/>
          <w:szCs w:val="24"/>
          <w:u w:val="single"/>
        </w:rPr>
        <w:t>О. Н. Григорьева</w:t>
      </w:r>
      <w:r w:rsidR="00A4614B" w:rsidRPr="00A4614B">
        <w:rPr>
          <w:rFonts w:ascii="Times New Roman" w:eastAsia="Calibri" w:hAnsi="Times New Roman" w:cs="Times New Roman"/>
          <w:sz w:val="28"/>
          <w:szCs w:val="24"/>
        </w:rPr>
        <w:t>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BD1EBD" w:rsidRDefault="00466C0B"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00A4614B" w:rsidRPr="00BD1EBD">
        <w:rPr>
          <w:rFonts w:ascii="Times New Roman" w:eastAsia="Calibri" w:hAnsi="Times New Roman" w:cs="Times New Roman"/>
          <w:sz w:val="28"/>
          <w:szCs w:val="24"/>
        </w:rPr>
        <w:t xml:space="preserve">Доцент кафедры педагогического образования к.п.н.         </w:t>
      </w:r>
    </w:p>
    <w:p w:rsidR="00A4614B" w:rsidRPr="00BD1EBD" w:rsidRDefault="00A4614B"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u w:val="single"/>
        </w:rPr>
        <w:tab/>
      </w:r>
      <w:r w:rsidRPr="00BD1EBD">
        <w:rPr>
          <w:rFonts w:ascii="Times New Roman" w:eastAsia="Calibri" w:hAnsi="Times New Roman" w:cs="Times New Roman"/>
          <w:sz w:val="28"/>
          <w:szCs w:val="24"/>
        </w:rPr>
        <w:t>________________________________</w:t>
      </w:r>
      <w:r w:rsidR="00466C0B" w:rsidRPr="00466C0B">
        <w:t xml:space="preserve"> </w:t>
      </w:r>
      <w:bookmarkStart w:id="2" w:name="_GoBack"/>
      <w:r w:rsidR="00466C0B" w:rsidRPr="00466C0B">
        <w:rPr>
          <w:rFonts w:ascii="Times New Roman" w:eastAsia="Calibri" w:hAnsi="Times New Roman" w:cs="Times New Roman"/>
          <w:sz w:val="28"/>
          <w:szCs w:val="24"/>
          <w:u w:val="single"/>
        </w:rPr>
        <w:t>Е.Н. Чернышова</w:t>
      </w:r>
      <w:r w:rsidR="00466C0B" w:rsidRPr="00466C0B">
        <w:rPr>
          <w:rFonts w:ascii="Times New Roman" w:eastAsia="Calibri" w:hAnsi="Times New Roman" w:cs="Times New Roman"/>
          <w:sz w:val="28"/>
          <w:szCs w:val="24"/>
        </w:rPr>
        <w:t xml:space="preserve"> </w:t>
      </w:r>
      <w:bookmarkEnd w:id="2"/>
      <w:r w:rsidRPr="00BD1EBD">
        <w:rPr>
          <w:rFonts w:ascii="Times New Roman" w:eastAsia="Calibri" w:hAnsi="Times New Roman" w:cs="Times New Roman"/>
          <w:sz w:val="28"/>
          <w:szCs w:val="24"/>
        </w:rPr>
        <w:t>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w:t>
            </w:r>
            <w:r w:rsidRPr="00A4614B">
              <w:rPr>
                <w:rFonts w:ascii="Times New Roman" w:eastAsia="Times New Roman" w:hAnsi="Times New Roman" w:cs="Times New Roman"/>
                <w:sz w:val="28"/>
                <w:szCs w:val="28"/>
              </w:rPr>
              <w:lastRenderedPageBreak/>
              <w:t>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 xml:space="preserve">Блок А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вести диалогическую и </w:t>
            </w:r>
            <w:r w:rsidRPr="00A4614B">
              <w:rPr>
                <w:rFonts w:ascii="Times New Roman" w:eastAsia="Times New Roman" w:hAnsi="Times New Roman" w:cs="Times New Roman"/>
                <w:sz w:val="28"/>
                <w:szCs w:val="28"/>
              </w:rPr>
              <w:lastRenderedPageBreak/>
              <w:t>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w:t>
            </w:r>
            <w:r w:rsidRPr="00A4614B">
              <w:rPr>
                <w:rFonts w:ascii="Times New Roman" w:eastAsia="Times New Roman" w:hAnsi="Times New Roman" w:cs="Times New Roman"/>
                <w:sz w:val="28"/>
                <w:szCs w:val="28"/>
                <w:lang w:eastAsia="ru-RU"/>
              </w:rPr>
              <w:lastRenderedPageBreak/>
              <w:t>деловой переписки и оформлением стандартных</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 С</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А0</w:t>
      </w:r>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r w:rsidRPr="0047645F">
        <w:rPr>
          <w:rFonts w:ascii="Times New Roman" w:eastAsia="Times New Roman" w:hAnsi="Times New Roman" w:cs="Times New Roman"/>
          <w:snapToGrid w:val="0"/>
          <w:sz w:val="28"/>
          <w:szCs w:val="28"/>
          <w:u w:val="single"/>
          <w:lang w:val="en-US" w:eastAsia="ru-RU"/>
        </w:rPr>
        <w:t>arc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lastRenderedPageBreak/>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понимал</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понимают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понимает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delicti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нарушает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нарушающий</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нарушая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delicti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возбужденный</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there is</w:t>
      </w:r>
      <w:r w:rsidRPr="0047645F">
        <w:rPr>
          <w:rFonts w:ascii="Times New Roman" w:eastAsia="Times New Roman" w:hAnsi="Times New Roman" w:cs="Times New Roman"/>
          <w:sz w:val="28"/>
          <w:szCs w:val="28"/>
          <w:lang w:val="en-US" w:eastAsia="ru-RU"/>
        </w:rPr>
        <w:t xml:space="preserve">  2)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там</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r w:rsidRPr="0047645F">
        <w:rPr>
          <w:rFonts w:ascii="Times New Roman" w:eastAsia="Times New Roman" w:hAnsi="Times New Roman" w:cs="Times New Roman"/>
          <w:sz w:val="28"/>
          <w:szCs w:val="28"/>
          <w:lang w:eastAsia="ru-RU"/>
        </w:rPr>
        <w:t>никакой</w:t>
      </w:r>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Two categories of courts in English are distinguished only for administration of  justice.</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различаются</w:t>
      </w:r>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criminal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lastRenderedPageBreak/>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prosecution,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r w:rsidRPr="0047645F">
        <w:rPr>
          <w:rFonts w:ascii="Times New Roman" w:eastAsia="Times New Roman" w:hAnsi="Times New Roman" w:cs="Times New Roman"/>
          <w:snapToGrid w:val="0"/>
          <w:sz w:val="28"/>
          <w:szCs w:val="28"/>
          <w:u w:val="single"/>
          <w:lang w:eastAsia="ru-RU"/>
        </w:rPr>
        <w:t>называется</w:t>
      </w:r>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назвали</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определены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определили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определялись</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помогали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помог</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помогают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There is no limit to the amount which may be claimed in damages in the Queen'sBench.(</w:t>
      </w:r>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осуществляется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осуществлена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осуществил</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is not guilty of having committed(</w:t>
      </w:r>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the several elements of corpus delicti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If a person is affected by some mental desease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lastRenderedPageBreak/>
        <w:t>1</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до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прежде</w:t>
      </w:r>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могут быть отстранены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the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the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the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has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is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rules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speaks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consists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no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was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helps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quiet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2) calm</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now</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up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1) thought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plot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3) plan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4) story</w:t>
      </w:r>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people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1) showing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2) in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from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secretly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showing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4) didn'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2) was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found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explaining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Criminal law does not regard as a crime an act or omission  which is nоt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thr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delicti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corpus delicti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is considered guilty of having committed a crime even if all the elements of the corpus delicti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In the absence of any element of the corpus delicti in the acts of the accused, he may not be considered quilty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object of crimes are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persons who have reached age of 14 years before the comission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(mirder,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1)sentence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lastRenderedPageBreak/>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Punishment aims at reforming and reeducating the convicted in the spirit of an  honest approach to labour,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Punishment aims at pecventing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64.      1) The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It is not obligatory  that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 .</w:t>
      </w:r>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Codification was a living in English law. Only some parts of English law havebeen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English law is a living thing, it changes through the course of history. The commom law endured for 900 yeais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3)To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Выберите наиболее правильный перевод  предложения из предложенных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деяние есть и преступление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he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In imposing penalties the court takes into account the nature and degree of social danger of the crime committed, the character of the criminal and all the circum</w:t>
      </w:r>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r>
      <w:r w:rsidRPr="0047645F">
        <w:rPr>
          <w:rFonts w:ascii="Times New Roman" w:eastAsia="Times New Roman" w:hAnsi="Times New Roman" w:cs="Times New Roman"/>
          <w:snapToGrid w:val="0"/>
          <w:sz w:val="28"/>
          <w:szCs w:val="28"/>
          <w:lang w:val="en-US" w:eastAsia="ru-RU"/>
        </w:rPr>
        <w:lastRenderedPageBreak/>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is merely a penalty lor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aims at reforming and reeducating the convicted in the spirit of an  honest approach to labour,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pecventing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3)Punishment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79.   1) The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2)The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2)It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3)It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lastRenderedPageBreak/>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didn'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was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found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r w:rsidRPr="0047645F">
        <w:rPr>
          <w:rFonts w:ascii="Times New Roman" w:eastAsia="Times New Roman" w:hAnsi="Times New Roman" w:cs="Times New Roman"/>
          <w:color w:val="000000" w:themeColor="text1"/>
          <w:sz w:val="28"/>
          <w:szCs w:val="28"/>
          <w:lang w:eastAsia="ru-RU"/>
        </w:rPr>
        <w:t>был</w:t>
      </w:r>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r w:rsidRPr="0047645F">
        <w:rPr>
          <w:rFonts w:ascii="Times New Roman" w:eastAsia="Times New Roman" w:hAnsi="Times New Roman" w:cs="Times New Roman"/>
          <w:color w:val="000000" w:themeColor="text1"/>
          <w:sz w:val="28"/>
          <w:szCs w:val="28"/>
          <w:lang w:eastAsia="ru-RU"/>
        </w:rPr>
        <w:t>допросили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r w:rsidRPr="0047645F">
        <w:rPr>
          <w:rFonts w:ascii="Times New Roman" w:eastAsia="Times New Roman" w:hAnsi="Times New Roman" w:cs="Times New Roman"/>
          <w:color w:val="000000" w:themeColor="text1"/>
          <w:sz w:val="28"/>
          <w:szCs w:val="28"/>
          <w:lang w:eastAsia="ru-RU"/>
        </w:rPr>
        <w:t>допрашивается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раскрывает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раскроет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рассмотрены</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рассматриваются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должны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Its no use proving his guilt. </w:t>
      </w:r>
      <w:r w:rsidRPr="0047645F">
        <w:rPr>
          <w:rFonts w:ascii="Times New Roman" w:eastAsia="Times New Roman" w:hAnsi="Times New Roman" w:cs="Times New Roman"/>
          <w:bCs/>
          <w:sz w:val="28"/>
          <w:szCs w:val="28"/>
          <w:lang w:eastAsia="ru-RU"/>
        </w:rPr>
        <w:t>He is innocent.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был</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допросили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допрашивается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10. May a defence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Give examples of general defences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is known as the corpus delicti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21. Shall the criminal proceeding be instituted in the absence of any element of corpus dilicti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Minicipal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r>
      <w:r w:rsidRPr="00D036BE">
        <w:rPr>
          <w:rFonts w:ascii="Times New Roman" w:eastAsia="Calibri" w:hAnsi="Times New Roman" w:cs="Times New Roman"/>
          <w:snapToGrid w:val="0"/>
          <w:color w:val="000000"/>
          <w:sz w:val="28"/>
          <w:szCs w:val="28"/>
          <w:lang w:val="en-US" w:eastAsia="ru-RU"/>
        </w:rPr>
        <w:lastRenderedPageBreak/>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r w:rsidRPr="00D036BE">
        <w:rPr>
          <w:rFonts w:ascii="Times New Roman" w:eastAsia="Calibri" w:hAnsi="Times New Roman" w:cs="Times New Roman"/>
          <w:b/>
          <w:sz w:val="28"/>
          <w:szCs w:val="28"/>
          <w:lang w:val="en-US"/>
        </w:rPr>
        <w:t xml:space="preserve">Тема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1.8. Find the following words and phrases in a dictionary: rules of law. to establish a system, constitutional (administrative, financial civil, labour,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lastRenderedPageBreak/>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r w:rsidRPr="00D036BE">
        <w:rPr>
          <w:rFonts w:ascii="Times New Roman" w:eastAsia="Calibri" w:hAnsi="Times New Roman" w:cs="Times New Roman"/>
          <w:b/>
          <w:sz w:val="28"/>
          <w:szCs w:val="28"/>
          <w:lang w:val="en-US"/>
        </w:rPr>
        <w:t xml:space="preserve">Тема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Мой друг вчера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12. He (come) back to St.Petersburg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lastRenderedPageBreak/>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lastRenderedPageBreak/>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behaviour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Community judgements,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«-нн,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7.2. Прочитайте вслух следующие интернациональные слова и подберите каждому из них соответсвующий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r w:rsidRPr="00D036BE">
        <w:rPr>
          <w:rFonts w:ascii="Times New Roman" w:eastAsia="Times New Roman" w:hAnsi="Times New Roman" w:cs="Times New Roman"/>
          <w:snapToGrid w:val="0"/>
          <w:sz w:val="28"/>
          <w:szCs w:val="28"/>
          <w:lang w:val="en-US" w:eastAsia="ru-RU"/>
        </w:rPr>
        <w:t>nforcement;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8"/>
          <w:footerReference w:type="default" r:id="rId9"/>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whereas unliquitaded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is defined as the rules regulating the structure of main organsof govemment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r w:rsidRPr="00D036BE">
        <w:rPr>
          <w:rFonts w:ascii="Times New Roman" w:eastAsia="Times New Roman" w:hAnsi="Times New Roman" w:cs="Times New Roman"/>
          <w:snapToGrid w:val="0"/>
          <w:sz w:val="28"/>
          <w:szCs w:val="28"/>
          <w:lang w:val="en-US" w:eastAsia="ru-RU"/>
        </w:rPr>
        <w:t xml:space="preserve">y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If what is wanted is compensation for injury, then civil proceedings are hecessary.</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cases aie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he nevei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8.The plaintitTmust bring his claim in the court ofthe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r w:rsidRPr="00D036BE">
        <w:rPr>
          <w:rFonts w:ascii="Times New Roman" w:eastAsia="Times New Roman" w:hAnsi="Times New Roman" w:cs="Times New Roman"/>
          <w:snapToGrid w:val="0"/>
          <w:color w:val="000000"/>
          <w:sz w:val="28"/>
          <w:szCs w:val="28"/>
          <w:u w:val="single"/>
          <w:lang w:val="en-US" w:eastAsia="ru-RU"/>
        </w:rPr>
        <w:t>cortsin</w:t>
      </w:r>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When hearing cast's the judges sit alone, but in certain cases a jun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reasons, essence and consequences on some event or a problem. The purpose of holding suchconferences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make your presentation more understandable, colourful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your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In my opinion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can’t make up my mind, but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но … I am keeping an open mind for the moment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I’m (not) sure that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Firstly, (secondly)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behaviour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r w:rsidR="00DB46A9" w:rsidRPr="0031610B">
        <w:rPr>
          <w:rFonts w:ascii="Times New Roman" w:eastAsia="Calibri" w:hAnsi="Times New Roman" w:cs="Times New Roman"/>
          <w:b/>
          <w:sz w:val="28"/>
          <w:szCs w:val="28"/>
          <w:lang w:val="en-US"/>
        </w:rPr>
        <w:t>выражений.</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Бузулукский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466C0B"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466C0B"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466C0B"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r>
              <w:rPr>
                <w:rFonts w:ascii="Times New Roman" w:hAnsi="Times New Roman" w:cs="Times New Roman"/>
                <w:sz w:val="24"/>
              </w:rPr>
              <w:t>Чернышова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r w:rsidRPr="00BE3807">
        <w:rPr>
          <w:rFonts w:ascii="Times New Roman" w:hAnsi="Times New Roman" w:cs="Times New Roman"/>
          <w:bCs/>
          <w:sz w:val="28"/>
          <w:szCs w:val="28"/>
          <w:lang w:val="en-US"/>
        </w:rPr>
        <w:t>ranslate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заданий не выполнено, т.е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3B" w:rsidRDefault="006D7D3B">
      <w:pPr>
        <w:spacing w:after="0" w:line="240" w:lineRule="auto"/>
      </w:pPr>
      <w:r>
        <w:separator/>
      </w:r>
    </w:p>
  </w:endnote>
  <w:endnote w:type="continuationSeparator" w:id="0">
    <w:p w:rsidR="006D7D3B" w:rsidRDefault="006D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466C0B">
      <w:rPr>
        <w:rStyle w:val="aff6"/>
        <w:noProof/>
      </w:rPr>
      <w:t>2</w:t>
    </w:r>
    <w:r>
      <w:rPr>
        <w:rStyle w:val="aff6"/>
      </w:rPr>
      <w:fldChar w:fldCharType="end"/>
    </w:r>
  </w:p>
  <w:p w:rsidR="0047645F" w:rsidRDefault="0047645F" w:rsidP="008274CA">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66C0B">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3B" w:rsidRDefault="006D7D3B">
      <w:pPr>
        <w:spacing w:after="0" w:line="240" w:lineRule="auto"/>
      </w:pPr>
      <w:r>
        <w:separator/>
      </w:r>
    </w:p>
  </w:footnote>
  <w:footnote w:type="continuationSeparator" w:id="0">
    <w:p w:rsidR="006D7D3B" w:rsidRDefault="006D7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162AEA"/>
    <w:rsid w:val="00173319"/>
    <w:rsid w:val="0031610B"/>
    <w:rsid w:val="003B02CC"/>
    <w:rsid w:val="00466C0B"/>
    <w:rsid w:val="0047645F"/>
    <w:rsid w:val="005A5792"/>
    <w:rsid w:val="005F4E08"/>
    <w:rsid w:val="006D7D3B"/>
    <w:rsid w:val="007056E9"/>
    <w:rsid w:val="008274CA"/>
    <w:rsid w:val="00A4614B"/>
    <w:rsid w:val="00AA6E44"/>
    <w:rsid w:val="00BD1EBD"/>
    <w:rsid w:val="00C65AC9"/>
    <w:rsid w:val="00D036BE"/>
    <w:rsid w:val="00D04857"/>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554DD6-796C-44B5-AE10-06E6393F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75DF-0799-4591-8EC7-02E06C3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14679</Words>
  <Characters>83673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Шумских</cp:lastModifiedBy>
  <cp:revision>14</cp:revision>
  <dcterms:created xsi:type="dcterms:W3CDTF">2019-11-18T09:12:00Z</dcterms:created>
  <dcterms:modified xsi:type="dcterms:W3CDTF">2020-09-06T16:26:00Z</dcterms:modified>
</cp:coreProperties>
</file>