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F2" w:rsidRPr="009E237D" w:rsidRDefault="00FE15F2" w:rsidP="00FE15F2">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FE15F2" w:rsidRPr="009E237D" w:rsidRDefault="00FE15F2" w:rsidP="00FE15F2">
      <w:pPr>
        <w:pStyle w:val="ReportHead"/>
        <w:rPr>
          <w:color w:val="000000" w:themeColor="text1"/>
          <w:sz w:val="24"/>
        </w:rPr>
      </w:pPr>
    </w:p>
    <w:p w:rsidR="00FE15F2" w:rsidRPr="009E237D" w:rsidRDefault="00FE15F2" w:rsidP="00FE15F2">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FE15F2" w:rsidRPr="009E237D" w:rsidRDefault="00FE15F2" w:rsidP="00FE15F2">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FE15F2" w:rsidRPr="009E237D" w:rsidRDefault="00FE15F2" w:rsidP="00FE15F2">
      <w:pPr>
        <w:pStyle w:val="ReportHead"/>
        <w:rPr>
          <w:color w:val="000000" w:themeColor="text1"/>
          <w:sz w:val="24"/>
        </w:rPr>
      </w:pPr>
      <w:r w:rsidRPr="009E237D">
        <w:rPr>
          <w:color w:val="000000" w:themeColor="text1"/>
          <w:sz w:val="24"/>
        </w:rPr>
        <w:t>высшего образования</w:t>
      </w:r>
    </w:p>
    <w:p w:rsidR="00FE15F2" w:rsidRPr="009E237D" w:rsidRDefault="00FE15F2" w:rsidP="00FE15F2">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bookmarkStart w:id="0" w:name="_GoBack"/>
      <w:bookmarkEnd w:id="0"/>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«Б.1.В.ОД.15 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rsidR="0050582D" w:rsidRPr="00901B31" w:rsidRDefault="0050582D" w:rsidP="0050582D">
      <w:pPr>
        <w:pStyle w:val="ReportHead"/>
        <w:suppressAutoHyphens/>
        <w:rPr>
          <w:color w:val="000000" w:themeColor="text1"/>
        </w:rPr>
      </w:pPr>
      <w:bookmarkStart w:id="1" w:name="BookmarkWhereDelChr13"/>
      <w:bookmarkEnd w:id="1"/>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sidRPr="00901B31">
        <w:rPr>
          <w:color w:val="000000" w:themeColor="text1"/>
        </w:rPr>
        <w:t>Год набора 2016</w:t>
      </w:r>
    </w:p>
    <w:p w:rsidR="00ED7B0D" w:rsidRPr="00ED7B0D" w:rsidRDefault="0050582D" w:rsidP="00ED7B0D">
      <w:pPr>
        <w:pStyle w:val="ReportHead"/>
        <w:jc w:val="both"/>
        <w:rPr>
          <w:i/>
          <w:color w:val="000000" w:themeColor="text1"/>
          <w:sz w:val="24"/>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w:t>
      </w:r>
      <w:proofErr w:type="gramStart"/>
      <w:r w:rsidRPr="00901B31">
        <w:rPr>
          <w:color w:val="000000" w:themeColor="text1"/>
          <w:sz w:val="24"/>
        </w:rPr>
        <w:t>знаний</w:t>
      </w:r>
      <w:proofErr w:type="gramEnd"/>
      <w:r w:rsidRPr="00901B31">
        <w:rPr>
          <w:color w:val="000000" w:themeColor="text1"/>
          <w:sz w:val="24"/>
        </w:rPr>
        <w:t xml:space="preserve">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«Б.1.В.ОД.15 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F32DD3" w:rsidRPr="00F32DD3">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Pr="00901B31">
        <w:rPr>
          <w:color w:val="000000" w:themeColor="text1"/>
          <w:sz w:val="24"/>
          <w:u w:val="single"/>
        </w:rPr>
        <w:t>Хомякова</w:t>
      </w:r>
      <w:proofErr w:type="gramEnd"/>
      <w:r w:rsidRPr="00901B31">
        <w:rPr>
          <w:color w:val="000000" w:themeColor="text1"/>
          <w:sz w:val="24"/>
          <w:u w:val="single"/>
        </w:rPr>
        <w:t xml:space="preserve"> Н.В</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140734" w:rsidP="0050582D">
            <w:pPr>
              <w:pStyle w:val="ReportMain"/>
              <w:suppressAutoHyphens/>
              <w:rPr>
                <w:color w:val="000000" w:themeColor="text1"/>
              </w:rPr>
            </w:pPr>
            <w:r w:rsidRPr="00901B31">
              <w:rPr>
                <w:color w:val="000000" w:themeColor="text1"/>
              </w:rPr>
              <w:t>Задачи</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ED7B0D" w:rsidP="00ED7B0D">
            <w:pPr>
              <w:pStyle w:val="ReportMain"/>
              <w:suppressAutoHyphens/>
              <w:rPr>
                <w:b/>
                <w:color w:val="000000" w:themeColor="text1"/>
              </w:rPr>
            </w:pPr>
            <w:r w:rsidRPr="00901B31">
              <w:rPr>
                <w:color w:val="000000" w:themeColor="text1"/>
              </w:rPr>
              <w:t>Задачи</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bCs/>
          <w:sz w:val="28"/>
          <w:szCs w:val="24"/>
        </w:rPr>
        <w:t xml:space="preserve">Раздел 1 </w:t>
      </w:r>
      <w:r w:rsidRPr="00F32DD3">
        <w:rPr>
          <w:rFonts w:eastAsia="Calibri"/>
          <w:b/>
          <w:sz w:val="28"/>
          <w:szCs w:val="24"/>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bCs/>
          <w:sz w:val="28"/>
          <w:szCs w:val="24"/>
        </w:rPr>
        <w:t xml:space="preserve">Раздел 2 </w:t>
      </w:r>
      <w:r w:rsidRPr="00F32DD3">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F32DD3" w:rsidRDefault="00183C11" w:rsidP="00183C11">
      <w:pPr>
        <w:autoSpaceDE w:val="0"/>
        <w:autoSpaceDN w:val="0"/>
        <w:adjustRightInd w:val="0"/>
        <w:spacing w:after="0" w:line="240" w:lineRule="auto"/>
        <w:jc w:val="both"/>
        <w:rPr>
          <w:b/>
          <w:sz w:val="28"/>
          <w:szCs w:val="24"/>
        </w:rPr>
      </w:pPr>
      <w:r w:rsidRPr="00F32DD3">
        <w:rPr>
          <w:b/>
          <w:bCs/>
          <w:sz w:val="28"/>
          <w:szCs w:val="24"/>
        </w:rPr>
        <w:t xml:space="preserve">Раздел 3 </w:t>
      </w:r>
      <w:r w:rsidRPr="00F32DD3">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Default="00183C11" w:rsidP="00183C11">
      <w:pPr>
        <w:autoSpaceDE w:val="0"/>
        <w:autoSpaceDN w:val="0"/>
        <w:adjustRightInd w:val="0"/>
        <w:spacing w:after="0" w:line="240" w:lineRule="auto"/>
        <w:jc w:val="both"/>
        <w:rPr>
          <w:b/>
          <w:sz w:val="24"/>
          <w:szCs w:val="24"/>
        </w:rPr>
      </w:pPr>
      <w:r w:rsidRPr="00F32DD3">
        <w:rPr>
          <w:b/>
          <w:bCs/>
          <w:sz w:val="28"/>
          <w:szCs w:val="24"/>
        </w:rPr>
        <w:t xml:space="preserve">Раздел 4 </w:t>
      </w:r>
      <w:r w:rsidRPr="00F32DD3">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bCs/>
          <w:sz w:val="28"/>
          <w:szCs w:val="24"/>
        </w:rPr>
        <w:t xml:space="preserve">Раздел 5 </w:t>
      </w:r>
      <w:r w:rsidRPr="00F32DD3">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F32DD3" w:rsidRDefault="00183C11" w:rsidP="00183C11">
      <w:pPr>
        <w:autoSpaceDE w:val="0"/>
        <w:autoSpaceDN w:val="0"/>
        <w:adjustRightInd w:val="0"/>
        <w:spacing w:after="0" w:line="240" w:lineRule="auto"/>
        <w:ind w:firstLine="709"/>
        <w:jc w:val="both"/>
        <w:rPr>
          <w:rFonts w:eastAsia="Calibri"/>
          <w:b/>
          <w:sz w:val="28"/>
          <w:szCs w:val="24"/>
        </w:rPr>
      </w:pPr>
      <w:r w:rsidRPr="00F32DD3">
        <w:rPr>
          <w:rFonts w:eastAsia="Calibri"/>
          <w:b/>
          <w:bCs/>
          <w:sz w:val="28"/>
          <w:szCs w:val="24"/>
        </w:rPr>
        <w:t xml:space="preserve">Раздел 6 </w:t>
      </w:r>
      <w:r w:rsidRPr="00F32DD3">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F32DD3" w:rsidRDefault="00183C11" w:rsidP="00183C11">
      <w:pPr>
        <w:autoSpaceDE w:val="0"/>
        <w:autoSpaceDN w:val="0"/>
        <w:adjustRightInd w:val="0"/>
        <w:spacing w:after="0" w:line="240" w:lineRule="auto"/>
        <w:ind w:firstLine="709"/>
        <w:jc w:val="both"/>
        <w:rPr>
          <w:rFonts w:eastAsia="Calibri"/>
          <w:b/>
          <w:sz w:val="28"/>
          <w:szCs w:val="24"/>
        </w:rPr>
      </w:pPr>
      <w:r w:rsidRPr="00F32DD3">
        <w:rPr>
          <w:rFonts w:eastAsia="Calibri"/>
          <w:b/>
          <w:bCs/>
          <w:sz w:val="28"/>
          <w:szCs w:val="24"/>
        </w:rPr>
        <w:t xml:space="preserve">Раздел 7 </w:t>
      </w:r>
      <w:r w:rsidRPr="00F32DD3">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F32DD3" w:rsidRDefault="00183C11" w:rsidP="00183C11">
      <w:pPr>
        <w:autoSpaceDE w:val="0"/>
        <w:autoSpaceDN w:val="0"/>
        <w:adjustRightInd w:val="0"/>
        <w:spacing w:after="0" w:line="240" w:lineRule="auto"/>
        <w:ind w:firstLine="709"/>
        <w:jc w:val="both"/>
        <w:rPr>
          <w:rFonts w:eastAsia="Calibri"/>
          <w:b/>
          <w:sz w:val="28"/>
          <w:szCs w:val="24"/>
        </w:rPr>
      </w:pPr>
      <w:r w:rsidRPr="00F32DD3">
        <w:rPr>
          <w:rFonts w:eastAsia="Calibri"/>
          <w:b/>
          <w:bCs/>
          <w:sz w:val="28"/>
          <w:szCs w:val="24"/>
        </w:rPr>
        <w:t xml:space="preserve">Раздел 8 </w:t>
      </w:r>
      <w:r w:rsidRPr="00F32DD3">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F32DD3">
        <w:rPr>
          <w:rFonts w:eastAsia="Calibri"/>
          <w:b/>
          <w:bCs/>
          <w:sz w:val="28"/>
          <w:szCs w:val="24"/>
        </w:rPr>
        <w:t xml:space="preserve">Раздел 1 </w:t>
      </w:r>
      <w:r w:rsidRPr="00F32DD3">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977DA9" w:rsidRDefault="00183C11" w:rsidP="00183C11">
      <w:pPr>
        <w:pStyle w:val="Default"/>
        <w:ind w:firstLine="709"/>
        <w:rPr>
          <w:sz w:val="28"/>
          <w:szCs w:val="28"/>
        </w:rPr>
      </w:pPr>
    </w:p>
    <w:p w:rsidR="00183C11" w:rsidRPr="00F32DD3" w:rsidRDefault="00183C11" w:rsidP="00183C11">
      <w:pPr>
        <w:autoSpaceDE w:val="0"/>
        <w:autoSpaceDN w:val="0"/>
        <w:adjustRightInd w:val="0"/>
        <w:spacing w:after="0" w:line="240" w:lineRule="auto"/>
        <w:ind w:firstLine="709"/>
        <w:jc w:val="both"/>
        <w:rPr>
          <w:rFonts w:eastAsia="Calibri"/>
          <w:b/>
          <w:sz w:val="28"/>
          <w:szCs w:val="24"/>
        </w:rPr>
      </w:pPr>
      <w:r w:rsidRPr="00F32DD3">
        <w:rPr>
          <w:rFonts w:eastAsia="Calibri"/>
          <w:b/>
          <w:bCs/>
          <w:sz w:val="28"/>
          <w:szCs w:val="24"/>
        </w:rPr>
        <w:t xml:space="preserve">Раздел 2 </w:t>
      </w:r>
      <w:r w:rsidRPr="00F32DD3">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bCs/>
          <w:sz w:val="28"/>
          <w:szCs w:val="24"/>
        </w:rPr>
        <w:t xml:space="preserve">Раздел 6 </w:t>
      </w:r>
      <w:r w:rsidRPr="00F32DD3">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F32DD3" w:rsidRDefault="00183C11" w:rsidP="00183C11">
      <w:pPr>
        <w:autoSpaceDE w:val="0"/>
        <w:autoSpaceDN w:val="0"/>
        <w:adjustRightInd w:val="0"/>
        <w:spacing w:after="0" w:line="240" w:lineRule="auto"/>
        <w:jc w:val="both"/>
        <w:rPr>
          <w:rFonts w:eastAsia="Calibri"/>
          <w:b/>
          <w:sz w:val="28"/>
          <w:szCs w:val="24"/>
        </w:rPr>
      </w:pPr>
      <w:r w:rsidRPr="00F32DD3">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F32DD3" w:rsidRDefault="003C1F74" w:rsidP="00183C11">
      <w:pPr>
        <w:autoSpaceDE w:val="0"/>
        <w:autoSpaceDN w:val="0"/>
        <w:adjustRightInd w:val="0"/>
        <w:spacing w:after="0" w:line="240" w:lineRule="auto"/>
        <w:jc w:val="both"/>
        <w:rPr>
          <w:rFonts w:eastAsia="Calibri"/>
          <w:b/>
          <w:sz w:val="28"/>
          <w:szCs w:val="24"/>
        </w:rPr>
      </w:pPr>
      <w:r w:rsidRPr="00F32DD3">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A5115D">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A5115D">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Pr="00A5115D" w:rsidRDefault="00C04290" w:rsidP="00A5115D">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F32DD3" w:rsidRPr="00901B31" w:rsidRDefault="00F32DD3" w:rsidP="00F32DD3">
      <w:pPr>
        <w:pStyle w:val="ReportMain"/>
        <w:jc w:val="center"/>
        <w:rPr>
          <w:i/>
          <w:color w:val="000000" w:themeColor="text1"/>
          <w:sz w:val="28"/>
        </w:rPr>
      </w:pPr>
      <w:r w:rsidRPr="00901B31">
        <w:rPr>
          <w:b/>
          <w:color w:val="000000" w:themeColor="text1"/>
          <w:sz w:val="28"/>
        </w:rPr>
        <w:t>Блок C</w:t>
      </w:r>
    </w:p>
    <w:p w:rsidR="00F32DD3" w:rsidRPr="008A4BE3" w:rsidRDefault="00F32DD3" w:rsidP="00F32DD3">
      <w:pPr>
        <w:pStyle w:val="ReportMain"/>
        <w:rPr>
          <w:b/>
          <w:color w:val="000000" w:themeColor="text1"/>
          <w:sz w:val="28"/>
        </w:rPr>
      </w:pPr>
      <w:r>
        <w:rPr>
          <w:b/>
          <w:color w:val="000000" w:themeColor="text1"/>
          <w:sz w:val="28"/>
        </w:rPr>
        <w:t xml:space="preserve">С.0 Творческие задания </w:t>
      </w:r>
    </w:p>
    <w:p w:rsidR="00F32DD3" w:rsidRPr="00132ED0" w:rsidRDefault="00F32DD3" w:rsidP="00F32DD3">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w:t>
      </w:r>
      <w:r>
        <w:rPr>
          <w:b/>
          <w:color w:val="000000" w:themeColor="text1"/>
          <w:sz w:val="28"/>
        </w:rPr>
        <w:t xml:space="preserve">ошения и валютная система </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современные тенденции развития».</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«Роль евро в мировой валютной системе».</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3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в условиях глобализации мировой экономики».</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4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«Современные проблемы реформирования международной валютной системы».</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5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«Последствия введения евро для России и других стран с переходной экономикой».</w:t>
      </w:r>
    </w:p>
    <w:p w:rsidR="00F32DD3" w:rsidRPr="00132ED0" w:rsidRDefault="00F32DD3" w:rsidP="00F32DD3">
      <w:pPr>
        <w:pStyle w:val="ReportMain"/>
        <w:suppressAutoHyphens/>
        <w:rPr>
          <w:bCs/>
          <w:color w:val="000000" w:themeColor="text1"/>
          <w:sz w:val="28"/>
        </w:rPr>
      </w:pPr>
    </w:p>
    <w:p w:rsidR="00F32DD3" w:rsidRPr="00132ED0" w:rsidRDefault="00F32DD3" w:rsidP="00F32DD3">
      <w:pPr>
        <w:pStyle w:val="ReportMain"/>
        <w:suppressAutoHyphens/>
        <w:rPr>
          <w:b/>
          <w:bCs/>
          <w:color w:val="000000" w:themeColor="text1"/>
          <w:sz w:val="28"/>
        </w:rPr>
      </w:pPr>
      <w:r>
        <w:rPr>
          <w:b/>
          <w:bCs/>
          <w:color w:val="000000" w:themeColor="text1"/>
          <w:sz w:val="28"/>
        </w:rPr>
        <w:t xml:space="preserve">Раздел 2 Платежный баланс </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«Торговый баланс РФ: основные торговые партнеры России, экспорт и импорт товаров».</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3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4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5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«Задолженность России и её отражение в платежном балансе».</w:t>
      </w:r>
    </w:p>
    <w:p w:rsidR="00F32DD3" w:rsidRPr="00132ED0" w:rsidRDefault="00F32DD3" w:rsidP="00F32DD3">
      <w:pPr>
        <w:pStyle w:val="ReportMain"/>
        <w:suppressAutoHyphens/>
        <w:rPr>
          <w:bCs/>
          <w:color w:val="000000" w:themeColor="text1"/>
          <w:sz w:val="28"/>
        </w:rPr>
      </w:pPr>
    </w:p>
    <w:p w:rsidR="00F32DD3" w:rsidRPr="00132ED0" w:rsidRDefault="00F32DD3" w:rsidP="00F32DD3">
      <w:pPr>
        <w:pStyle w:val="ReportMain"/>
        <w:suppressAutoHyphens/>
        <w:rPr>
          <w:b/>
          <w:color w:val="000000" w:themeColor="text1"/>
          <w:sz w:val="28"/>
        </w:rPr>
      </w:pPr>
      <w:r w:rsidRPr="00132ED0">
        <w:rPr>
          <w:b/>
          <w:bCs/>
          <w:color w:val="000000" w:themeColor="text1"/>
          <w:sz w:val="28"/>
        </w:rPr>
        <w:t xml:space="preserve">Раздел 3 </w:t>
      </w:r>
      <w:r>
        <w:rPr>
          <w:b/>
          <w:color w:val="000000" w:themeColor="text1"/>
          <w:sz w:val="28"/>
        </w:rPr>
        <w:t xml:space="preserve">Валютная политика </w:t>
      </w:r>
    </w:p>
    <w:p w:rsidR="00F32DD3" w:rsidRPr="00FE200A" w:rsidRDefault="00F32DD3" w:rsidP="00F32DD3">
      <w:pPr>
        <w:pStyle w:val="ReportMain"/>
        <w:suppressAutoHyphens/>
        <w:rPr>
          <w:b/>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2201"/>
        <w:gridCol w:w="1971"/>
        <w:gridCol w:w="1971"/>
        <w:gridCol w:w="1708"/>
        <w:gridCol w:w="2234"/>
      </w:tblGrid>
      <w:tr w:rsidR="00F32DD3" w:rsidRPr="00132ED0" w:rsidTr="00CB634C">
        <w:tc>
          <w:tcPr>
            <w:tcW w:w="1971" w:type="dxa"/>
            <w:vMerge w:val="restart"/>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Страна</w:t>
            </w:r>
          </w:p>
        </w:tc>
        <w:tc>
          <w:tcPr>
            <w:tcW w:w="3942" w:type="dxa"/>
            <w:gridSpan w:val="2"/>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Национальная валюта за 1 долл.</w:t>
            </w:r>
          </w:p>
        </w:tc>
        <w:tc>
          <w:tcPr>
            <w:tcW w:w="1708" w:type="dxa"/>
            <w:vMerge w:val="restart"/>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Отклонение</w:t>
            </w:r>
          </w:p>
        </w:tc>
        <w:tc>
          <w:tcPr>
            <w:tcW w:w="2234" w:type="dxa"/>
            <w:vMerge w:val="restart"/>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 девальвации, ревальвации (+,-)</w:t>
            </w:r>
          </w:p>
        </w:tc>
      </w:tr>
      <w:tr w:rsidR="00F32DD3" w:rsidRPr="00132ED0" w:rsidTr="00CB634C">
        <w:tc>
          <w:tcPr>
            <w:tcW w:w="1971" w:type="dxa"/>
            <w:vMerge/>
            <w:vAlign w:val="center"/>
          </w:tcPr>
          <w:p w:rsidR="00F32DD3" w:rsidRPr="00132ED0" w:rsidRDefault="00F32DD3" w:rsidP="00CB634C">
            <w:pPr>
              <w:pStyle w:val="ReportMain"/>
              <w:suppressAutoHyphens/>
              <w:jc w:val="both"/>
              <w:rPr>
                <w:bCs/>
                <w:color w:val="000000" w:themeColor="text1"/>
                <w:sz w:val="28"/>
              </w:rPr>
            </w:pP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01.01.13.</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01.01.14</w:t>
            </w:r>
          </w:p>
        </w:tc>
        <w:tc>
          <w:tcPr>
            <w:tcW w:w="1708" w:type="dxa"/>
            <w:vMerge/>
            <w:vAlign w:val="center"/>
          </w:tcPr>
          <w:p w:rsidR="00F32DD3" w:rsidRPr="00132ED0" w:rsidRDefault="00F32DD3" w:rsidP="00CB634C">
            <w:pPr>
              <w:pStyle w:val="ReportMain"/>
              <w:suppressAutoHyphens/>
              <w:jc w:val="both"/>
              <w:rPr>
                <w:bCs/>
                <w:color w:val="000000" w:themeColor="text1"/>
                <w:sz w:val="28"/>
              </w:rPr>
            </w:pPr>
          </w:p>
        </w:tc>
        <w:tc>
          <w:tcPr>
            <w:tcW w:w="2234" w:type="dxa"/>
            <w:vMerge/>
            <w:vAlign w:val="center"/>
          </w:tcPr>
          <w:p w:rsidR="00F32DD3" w:rsidRPr="00132ED0" w:rsidRDefault="00F32DD3" w:rsidP="00CB634C">
            <w:pPr>
              <w:pStyle w:val="ReportMain"/>
              <w:suppressAutoHyphens/>
              <w:jc w:val="both"/>
              <w:rPr>
                <w:bCs/>
                <w:color w:val="000000" w:themeColor="text1"/>
                <w:sz w:val="28"/>
              </w:rPr>
            </w:pPr>
          </w:p>
        </w:tc>
      </w:tr>
      <w:tr w:rsidR="00F32DD3" w:rsidRPr="00132ED0" w:rsidTr="00CB634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США</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1,0000</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1,0000</w:t>
            </w:r>
          </w:p>
        </w:tc>
        <w:tc>
          <w:tcPr>
            <w:tcW w:w="1708" w:type="dxa"/>
            <w:vAlign w:val="center"/>
          </w:tcPr>
          <w:p w:rsidR="00F32DD3" w:rsidRPr="00132ED0" w:rsidRDefault="00F32DD3" w:rsidP="00CB634C">
            <w:pPr>
              <w:pStyle w:val="ReportMain"/>
              <w:suppressAutoHyphens/>
              <w:jc w:val="both"/>
              <w:rPr>
                <w:bCs/>
                <w:color w:val="000000" w:themeColor="text1"/>
                <w:sz w:val="28"/>
              </w:rPr>
            </w:pPr>
          </w:p>
        </w:tc>
        <w:tc>
          <w:tcPr>
            <w:tcW w:w="2234" w:type="dxa"/>
            <w:vAlign w:val="center"/>
          </w:tcPr>
          <w:p w:rsidR="00F32DD3" w:rsidRPr="00132ED0" w:rsidRDefault="00F32DD3" w:rsidP="00CB634C">
            <w:pPr>
              <w:pStyle w:val="ReportMain"/>
              <w:suppressAutoHyphens/>
              <w:jc w:val="both"/>
              <w:rPr>
                <w:bCs/>
                <w:color w:val="000000" w:themeColor="text1"/>
                <w:sz w:val="28"/>
              </w:rPr>
            </w:pPr>
          </w:p>
        </w:tc>
      </w:tr>
      <w:tr w:rsidR="00F32DD3" w:rsidRPr="00132ED0" w:rsidTr="00CB634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Великобритания</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1,9967</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1,4457</w:t>
            </w:r>
          </w:p>
        </w:tc>
        <w:tc>
          <w:tcPr>
            <w:tcW w:w="1708" w:type="dxa"/>
            <w:vAlign w:val="center"/>
          </w:tcPr>
          <w:p w:rsidR="00F32DD3" w:rsidRPr="00132ED0" w:rsidRDefault="00F32DD3" w:rsidP="00CB634C">
            <w:pPr>
              <w:pStyle w:val="ReportMain"/>
              <w:suppressAutoHyphens/>
              <w:jc w:val="both"/>
              <w:rPr>
                <w:bCs/>
                <w:color w:val="000000" w:themeColor="text1"/>
                <w:sz w:val="28"/>
              </w:rPr>
            </w:pPr>
          </w:p>
        </w:tc>
        <w:tc>
          <w:tcPr>
            <w:tcW w:w="2234" w:type="dxa"/>
            <w:vAlign w:val="center"/>
          </w:tcPr>
          <w:p w:rsidR="00F32DD3" w:rsidRPr="00132ED0" w:rsidRDefault="00F32DD3" w:rsidP="00CB634C">
            <w:pPr>
              <w:pStyle w:val="ReportMain"/>
              <w:suppressAutoHyphens/>
              <w:jc w:val="both"/>
              <w:rPr>
                <w:bCs/>
                <w:color w:val="000000" w:themeColor="text1"/>
                <w:sz w:val="28"/>
              </w:rPr>
            </w:pPr>
          </w:p>
        </w:tc>
      </w:tr>
      <w:tr w:rsidR="00F32DD3" w:rsidRPr="00132ED0" w:rsidTr="00CB634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Европа</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1,4639</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1,4095</w:t>
            </w:r>
          </w:p>
        </w:tc>
        <w:tc>
          <w:tcPr>
            <w:tcW w:w="1708" w:type="dxa"/>
            <w:vAlign w:val="center"/>
          </w:tcPr>
          <w:p w:rsidR="00F32DD3" w:rsidRPr="00132ED0" w:rsidRDefault="00F32DD3" w:rsidP="00CB634C">
            <w:pPr>
              <w:pStyle w:val="ReportMain"/>
              <w:suppressAutoHyphens/>
              <w:jc w:val="both"/>
              <w:rPr>
                <w:bCs/>
                <w:color w:val="000000" w:themeColor="text1"/>
                <w:sz w:val="28"/>
              </w:rPr>
            </w:pPr>
          </w:p>
        </w:tc>
        <w:tc>
          <w:tcPr>
            <w:tcW w:w="2234" w:type="dxa"/>
            <w:vAlign w:val="center"/>
          </w:tcPr>
          <w:p w:rsidR="00F32DD3" w:rsidRPr="00132ED0" w:rsidRDefault="00F32DD3" w:rsidP="00CB634C">
            <w:pPr>
              <w:pStyle w:val="ReportMain"/>
              <w:suppressAutoHyphens/>
              <w:jc w:val="both"/>
              <w:rPr>
                <w:bCs/>
                <w:color w:val="000000" w:themeColor="text1"/>
                <w:sz w:val="28"/>
              </w:rPr>
            </w:pPr>
          </w:p>
        </w:tc>
      </w:tr>
      <w:tr w:rsidR="00F32DD3" w:rsidRPr="00132ED0" w:rsidTr="00CB634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Япония</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0,8899</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1,1082</w:t>
            </w:r>
          </w:p>
        </w:tc>
        <w:tc>
          <w:tcPr>
            <w:tcW w:w="1708" w:type="dxa"/>
            <w:vAlign w:val="center"/>
          </w:tcPr>
          <w:p w:rsidR="00F32DD3" w:rsidRPr="00132ED0" w:rsidRDefault="00F32DD3" w:rsidP="00CB634C">
            <w:pPr>
              <w:pStyle w:val="ReportMain"/>
              <w:suppressAutoHyphens/>
              <w:jc w:val="both"/>
              <w:rPr>
                <w:bCs/>
                <w:color w:val="000000" w:themeColor="text1"/>
                <w:sz w:val="28"/>
              </w:rPr>
            </w:pPr>
          </w:p>
        </w:tc>
        <w:tc>
          <w:tcPr>
            <w:tcW w:w="2234" w:type="dxa"/>
            <w:vAlign w:val="center"/>
          </w:tcPr>
          <w:p w:rsidR="00F32DD3" w:rsidRPr="00132ED0" w:rsidRDefault="00F32DD3" w:rsidP="00CB634C">
            <w:pPr>
              <w:pStyle w:val="ReportMain"/>
              <w:suppressAutoHyphens/>
              <w:jc w:val="both"/>
              <w:rPr>
                <w:bCs/>
                <w:color w:val="000000" w:themeColor="text1"/>
                <w:sz w:val="28"/>
              </w:rPr>
            </w:pPr>
          </w:p>
        </w:tc>
      </w:tr>
      <w:tr w:rsidR="00F32DD3" w:rsidRPr="00132ED0" w:rsidTr="00CB634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Россия</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0,0407</w:t>
            </w:r>
          </w:p>
        </w:tc>
        <w:tc>
          <w:tcPr>
            <w:tcW w:w="1971" w:type="dxa"/>
            <w:vAlign w:val="center"/>
          </w:tcPr>
          <w:p w:rsidR="00F32DD3" w:rsidRPr="00132ED0" w:rsidRDefault="00F32DD3" w:rsidP="00CB634C">
            <w:pPr>
              <w:pStyle w:val="ReportMain"/>
              <w:suppressAutoHyphens/>
              <w:jc w:val="both"/>
              <w:rPr>
                <w:bCs/>
                <w:color w:val="000000" w:themeColor="text1"/>
                <w:sz w:val="28"/>
              </w:rPr>
            </w:pPr>
            <w:r w:rsidRPr="00132ED0">
              <w:rPr>
                <w:bCs/>
                <w:color w:val="000000" w:themeColor="text1"/>
                <w:sz w:val="28"/>
              </w:rPr>
              <w:t>0,0340</w:t>
            </w:r>
          </w:p>
        </w:tc>
        <w:tc>
          <w:tcPr>
            <w:tcW w:w="1708" w:type="dxa"/>
            <w:vAlign w:val="center"/>
          </w:tcPr>
          <w:p w:rsidR="00F32DD3" w:rsidRPr="00132ED0" w:rsidRDefault="00F32DD3" w:rsidP="00CB634C">
            <w:pPr>
              <w:pStyle w:val="ReportMain"/>
              <w:suppressAutoHyphens/>
              <w:jc w:val="both"/>
              <w:rPr>
                <w:bCs/>
                <w:color w:val="000000" w:themeColor="text1"/>
                <w:sz w:val="28"/>
              </w:rPr>
            </w:pPr>
          </w:p>
        </w:tc>
        <w:tc>
          <w:tcPr>
            <w:tcW w:w="2234" w:type="dxa"/>
            <w:vAlign w:val="center"/>
          </w:tcPr>
          <w:p w:rsidR="00F32DD3" w:rsidRPr="00132ED0" w:rsidRDefault="00F32DD3" w:rsidP="00CB634C">
            <w:pPr>
              <w:pStyle w:val="ReportMain"/>
              <w:suppressAutoHyphens/>
              <w:jc w:val="both"/>
              <w:rPr>
                <w:bCs/>
                <w:color w:val="000000" w:themeColor="text1"/>
                <w:sz w:val="28"/>
              </w:rPr>
            </w:pPr>
          </w:p>
        </w:tc>
      </w:tr>
    </w:tbl>
    <w:p w:rsidR="00F32DD3" w:rsidRPr="00132ED0" w:rsidRDefault="00F32DD3" w:rsidP="00F32DD3">
      <w:pPr>
        <w:pStyle w:val="ReportMain"/>
        <w:suppressAutoHyphens/>
        <w:rPr>
          <w:bCs/>
          <w:color w:val="000000" w:themeColor="text1"/>
          <w:sz w:val="28"/>
        </w:rPr>
      </w:pPr>
      <w:r w:rsidRPr="00132ED0">
        <w:rPr>
          <w:bCs/>
          <w:color w:val="000000" w:themeColor="text1"/>
          <w:sz w:val="28"/>
        </w:rPr>
        <w:t>Определите процент девальвации (ревальвации) национальных валют.</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Российской Федерации».</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3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F32DD3" w:rsidRPr="00FE200A" w:rsidRDefault="00F32DD3" w:rsidP="00F32DD3">
      <w:pPr>
        <w:pStyle w:val="ReportMain"/>
        <w:suppressAutoHyphens/>
        <w:rPr>
          <w:b/>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4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5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F32DD3" w:rsidRPr="00132ED0" w:rsidRDefault="00F32DD3" w:rsidP="00F32DD3">
      <w:pPr>
        <w:pStyle w:val="ReportMain"/>
        <w:suppressAutoHyphens/>
        <w:rPr>
          <w:b/>
          <w:bCs/>
          <w:color w:val="000000" w:themeColor="text1"/>
          <w:sz w:val="28"/>
        </w:rPr>
      </w:pPr>
    </w:p>
    <w:p w:rsidR="00F32DD3" w:rsidRPr="00132ED0" w:rsidRDefault="00F32DD3" w:rsidP="00F32DD3">
      <w:pPr>
        <w:pStyle w:val="ReportMain"/>
        <w:suppressAutoHyphens/>
        <w:rPr>
          <w:b/>
          <w:color w:val="000000" w:themeColor="text1"/>
          <w:sz w:val="28"/>
        </w:rPr>
      </w:pPr>
      <w:r w:rsidRPr="00132ED0">
        <w:rPr>
          <w:b/>
          <w:bCs/>
          <w:color w:val="000000" w:themeColor="text1"/>
          <w:sz w:val="28"/>
        </w:rPr>
        <w:t xml:space="preserve">Раздел 4 </w:t>
      </w:r>
      <w:r>
        <w:rPr>
          <w:b/>
          <w:color w:val="000000" w:themeColor="text1"/>
          <w:sz w:val="28"/>
        </w:rPr>
        <w:t xml:space="preserve">Валютные рынки </w:t>
      </w:r>
    </w:p>
    <w:p w:rsidR="00F32DD3" w:rsidRPr="00132ED0" w:rsidRDefault="00F32DD3" w:rsidP="00F32DD3">
      <w:pPr>
        <w:pStyle w:val="ReportMain"/>
        <w:suppressAutoHyphens/>
        <w:rPr>
          <w:b/>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«Становление валютного рынка России, его особенности и перспективы развития».</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3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«Проблемы конвертируемости российского рубля».</w:t>
      </w:r>
    </w:p>
    <w:p w:rsidR="00F32DD3" w:rsidRPr="00132ED0" w:rsidRDefault="00F32DD3" w:rsidP="00F32DD3">
      <w:pPr>
        <w:pStyle w:val="ReportMain"/>
        <w:suppressAutoHyphens/>
        <w:rPr>
          <w:b/>
          <w:bCs/>
          <w:color w:val="000000" w:themeColor="text1"/>
          <w:sz w:val="28"/>
        </w:rPr>
      </w:pPr>
    </w:p>
    <w:p w:rsidR="00F32DD3" w:rsidRPr="00132ED0" w:rsidRDefault="00F32DD3" w:rsidP="00F32DD3">
      <w:pPr>
        <w:pStyle w:val="ReportMain"/>
        <w:suppressAutoHyphens/>
        <w:rPr>
          <w:b/>
          <w:color w:val="000000" w:themeColor="text1"/>
          <w:sz w:val="28"/>
        </w:rPr>
      </w:pPr>
      <w:r w:rsidRPr="00132ED0">
        <w:rPr>
          <w:b/>
          <w:bCs/>
          <w:color w:val="000000" w:themeColor="text1"/>
          <w:sz w:val="28"/>
        </w:rPr>
        <w:t xml:space="preserve">Раздел 5 </w:t>
      </w:r>
      <w:r>
        <w:rPr>
          <w:b/>
          <w:color w:val="000000" w:themeColor="text1"/>
          <w:sz w:val="28"/>
        </w:rPr>
        <w:t xml:space="preserve">Операции с валютой </w:t>
      </w:r>
    </w:p>
    <w:p w:rsidR="00F32DD3" w:rsidRPr="00132ED0" w:rsidRDefault="00F32DD3" w:rsidP="00F32DD3">
      <w:pPr>
        <w:pStyle w:val="ReportMain"/>
        <w:suppressAutoHyphens/>
        <w:rPr>
          <w:b/>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«Организация работы валютных бирж в России».</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«Валютные операции по российскому законодательству».</w:t>
      </w:r>
    </w:p>
    <w:p w:rsidR="00F32DD3" w:rsidRPr="00132ED0" w:rsidRDefault="00F32DD3" w:rsidP="00F32DD3">
      <w:pPr>
        <w:pStyle w:val="ReportMain"/>
        <w:suppressAutoHyphens/>
        <w:rPr>
          <w:b/>
          <w:bCs/>
          <w:color w:val="000000" w:themeColor="text1"/>
          <w:sz w:val="28"/>
        </w:rPr>
      </w:pPr>
    </w:p>
    <w:p w:rsidR="00F32DD3" w:rsidRPr="00132ED0" w:rsidRDefault="00F32DD3" w:rsidP="00F32DD3">
      <w:pPr>
        <w:pStyle w:val="ReportMain"/>
        <w:suppressAutoHyphens/>
        <w:rPr>
          <w:b/>
          <w:color w:val="000000" w:themeColor="text1"/>
          <w:sz w:val="28"/>
        </w:rPr>
      </w:pPr>
      <w:r w:rsidRPr="00132ED0">
        <w:rPr>
          <w:b/>
          <w:bCs/>
          <w:color w:val="000000" w:themeColor="text1"/>
          <w:sz w:val="28"/>
        </w:rPr>
        <w:t xml:space="preserve">Раздел 6 </w:t>
      </w:r>
      <w:r w:rsidRPr="00132ED0">
        <w:rPr>
          <w:b/>
          <w:color w:val="000000" w:themeColor="text1"/>
          <w:sz w:val="28"/>
        </w:rPr>
        <w:t>М</w:t>
      </w:r>
      <w:r>
        <w:rPr>
          <w:b/>
          <w:color w:val="000000" w:themeColor="text1"/>
          <w:sz w:val="28"/>
        </w:rPr>
        <w:t xml:space="preserve">еждународные расчеты </w:t>
      </w:r>
    </w:p>
    <w:p w:rsidR="00F32DD3" w:rsidRPr="00132ED0" w:rsidRDefault="00F32DD3" w:rsidP="00F32DD3">
      <w:pPr>
        <w:pStyle w:val="ReportMain"/>
        <w:suppressAutoHyphens/>
        <w:rPr>
          <w:b/>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Российская фирма «</w:t>
      </w:r>
      <w:proofErr w:type="spellStart"/>
      <w:r w:rsidRPr="00132ED0">
        <w:rPr>
          <w:bCs/>
          <w:color w:val="000000" w:themeColor="text1"/>
          <w:sz w:val="28"/>
        </w:rPr>
        <w:t>Л’Этуаль</w:t>
      </w:r>
      <w:proofErr w:type="spellEnd"/>
      <w:r w:rsidRPr="00132ED0">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3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Российская компания «Спортмастер» заключила контракт с фирмой «</w:t>
      </w:r>
      <w:r w:rsidRPr="00132ED0">
        <w:rPr>
          <w:bCs/>
          <w:color w:val="000000" w:themeColor="text1"/>
          <w:sz w:val="28"/>
          <w:lang w:val="en-US"/>
        </w:rPr>
        <w:t>Nike</w:t>
      </w:r>
      <w:r w:rsidRPr="00132ED0">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4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«Организация международных расчетов РФ со странами ближнего и дальнего зарубежья».</w:t>
      </w:r>
    </w:p>
    <w:p w:rsidR="00F32DD3" w:rsidRPr="00FE200A" w:rsidRDefault="00F32DD3" w:rsidP="00F32DD3">
      <w:pPr>
        <w:pStyle w:val="ReportMain"/>
        <w:suppressAutoHyphens/>
        <w:rPr>
          <w:b/>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5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«Валютно-финансовые и платежные условия контрактов внешнеэкономических связей в РФ».</w:t>
      </w:r>
    </w:p>
    <w:p w:rsidR="00F32DD3" w:rsidRPr="00FE200A" w:rsidRDefault="00F32DD3" w:rsidP="00F32DD3">
      <w:pPr>
        <w:pStyle w:val="ReportMain"/>
        <w:suppressAutoHyphens/>
        <w:rPr>
          <w:b/>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6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F32DD3" w:rsidRPr="00132ED0" w:rsidRDefault="00F32DD3" w:rsidP="00F32DD3">
      <w:pPr>
        <w:pStyle w:val="ReportMain"/>
        <w:suppressAutoHyphens/>
        <w:rPr>
          <w:bCs/>
          <w:color w:val="000000" w:themeColor="text1"/>
          <w:sz w:val="28"/>
        </w:rPr>
      </w:pPr>
    </w:p>
    <w:p w:rsidR="00F32DD3" w:rsidRPr="00132ED0" w:rsidRDefault="00F32DD3" w:rsidP="00F32DD3">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w:t>
      </w:r>
      <w:r>
        <w:rPr>
          <w:b/>
          <w:color w:val="000000" w:themeColor="text1"/>
          <w:sz w:val="28"/>
        </w:rPr>
        <w:t xml:space="preserve">народные кредитные отношения </w:t>
      </w:r>
    </w:p>
    <w:p w:rsidR="00F32DD3" w:rsidRPr="00132ED0" w:rsidRDefault="00F32DD3" w:rsidP="00F32DD3">
      <w:pPr>
        <w:pStyle w:val="ReportMain"/>
        <w:suppressAutoHyphens/>
        <w:rPr>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«Международное кредитование развивающихся стран».</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«Тенденции развития рынка еврокредитов».</w:t>
      </w:r>
    </w:p>
    <w:p w:rsidR="00F32DD3" w:rsidRPr="00132ED0" w:rsidRDefault="00F32DD3" w:rsidP="00F32DD3">
      <w:pPr>
        <w:pStyle w:val="ReportMain"/>
        <w:suppressAutoHyphens/>
        <w:rPr>
          <w:color w:val="000000" w:themeColor="text1"/>
          <w:sz w:val="28"/>
        </w:rPr>
      </w:pPr>
    </w:p>
    <w:p w:rsidR="00F32DD3" w:rsidRDefault="00F32DD3" w:rsidP="00F32DD3">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 xml:space="preserve">Международные валютно-кредитные и финансовые организации </w:t>
      </w:r>
    </w:p>
    <w:p w:rsidR="00F32DD3" w:rsidRPr="00132ED0" w:rsidRDefault="00F32DD3" w:rsidP="00F32DD3">
      <w:pPr>
        <w:pStyle w:val="ReportMain"/>
        <w:rPr>
          <w:b/>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1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МВФ».</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2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Группы Всемирного банка».</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3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4 </w:t>
      </w:r>
    </w:p>
    <w:p w:rsidR="00F32DD3"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«Российско-белорусская валютная интеграция: проблемы, тенденции и перспективы».</w:t>
      </w:r>
    </w:p>
    <w:p w:rsidR="00F32DD3" w:rsidRPr="00132ED0" w:rsidRDefault="00F32DD3" w:rsidP="00F32DD3">
      <w:pPr>
        <w:pStyle w:val="ReportMain"/>
        <w:suppressAutoHyphens/>
        <w:rPr>
          <w:bCs/>
          <w:color w:val="000000" w:themeColor="text1"/>
          <w:sz w:val="28"/>
        </w:rPr>
      </w:pPr>
    </w:p>
    <w:p w:rsidR="00F32DD3" w:rsidRPr="00FE200A" w:rsidRDefault="00F32DD3" w:rsidP="00F32DD3">
      <w:pPr>
        <w:pStyle w:val="ReportMain"/>
        <w:suppressAutoHyphens/>
        <w:rPr>
          <w:b/>
          <w:bCs/>
          <w:color w:val="000000" w:themeColor="text1"/>
          <w:sz w:val="28"/>
        </w:rPr>
      </w:pPr>
      <w:r w:rsidRPr="00FE200A">
        <w:rPr>
          <w:b/>
          <w:bCs/>
          <w:color w:val="000000" w:themeColor="text1"/>
          <w:sz w:val="28"/>
        </w:rPr>
        <w:t xml:space="preserve">Задание 5 </w:t>
      </w:r>
    </w:p>
    <w:p w:rsidR="00132ED0" w:rsidRPr="00132ED0" w:rsidRDefault="00F32DD3" w:rsidP="00F32DD3">
      <w:pPr>
        <w:pStyle w:val="ReportMain"/>
        <w:suppressAutoHyphens/>
        <w:rPr>
          <w:bCs/>
          <w:color w:val="000000" w:themeColor="text1"/>
          <w:sz w:val="28"/>
        </w:rPr>
      </w:pPr>
      <w:r w:rsidRPr="00132ED0">
        <w:rPr>
          <w:bCs/>
          <w:color w:val="000000" w:themeColor="text1"/>
          <w:sz w:val="28"/>
        </w:rPr>
        <w:t>Напишите эссе на тему «Проблемы участия России в международных финансовых институтах».</w:t>
      </w: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F32DD3" w:rsidRDefault="00F32DD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E15F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32ED0"/>
    <w:rsid w:val="00140734"/>
    <w:rsid w:val="00183C11"/>
    <w:rsid w:val="003C1F74"/>
    <w:rsid w:val="003D4E9B"/>
    <w:rsid w:val="0050582D"/>
    <w:rsid w:val="00593259"/>
    <w:rsid w:val="00697200"/>
    <w:rsid w:val="007255F7"/>
    <w:rsid w:val="007C3AB9"/>
    <w:rsid w:val="008A4BE3"/>
    <w:rsid w:val="00901B31"/>
    <w:rsid w:val="009370F1"/>
    <w:rsid w:val="00A5115D"/>
    <w:rsid w:val="00A707E1"/>
    <w:rsid w:val="00A83E11"/>
    <w:rsid w:val="00C04290"/>
    <w:rsid w:val="00E21272"/>
    <w:rsid w:val="00E92AE7"/>
    <w:rsid w:val="00ED13DD"/>
    <w:rsid w:val="00ED7B0D"/>
    <w:rsid w:val="00F15815"/>
    <w:rsid w:val="00F32DD3"/>
    <w:rsid w:val="00F4338D"/>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58F26-0351-4ED8-86D4-6589D1C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46</Pages>
  <Words>11880</Words>
  <Characters>67721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11</cp:revision>
  <cp:lastPrinted>2019-10-01T06:17:00Z</cp:lastPrinted>
  <dcterms:created xsi:type="dcterms:W3CDTF">2019-10-01T06:18:00Z</dcterms:created>
  <dcterms:modified xsi:type="dcterms:W3CDTF">2019-10-24T17:33:00Z</dcterms:modified>
</cp:coreProperties>
</file>