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8430CE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8430CE">
        <w:rPr>
          <w:i/>
          <w:sz w:val="24"/>
        </w:rPr>
        <w:t>1</w:t>
      </w:r>
      <w:r w:rsidR="00E25641">
        <w:rPr>
          <w:i/>
          <w:sz w:val="24"/>
        </w:rPr>
        <w:t xml:space="preserve"> </w:t>
      </w:r>
      <w:r w:rsidR="00BC46CE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8430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</w:t>
      </w:r>
      <w:r w:rsidR="00345519" w:rsidRPr="00867B3A">
        <w:rPr>
          <w:sz w:val="28"/>
          <w:szCs w:val="27"/>
        </w:rPr>
        <w:t>у</w:t>
      </w:r>
      <w:r w:rsidR="00345519" w:rsidRPr="00867B3A">
        <w:rPr>
          <w:sz w:val="28"/>
          <w:szCs w:val="27"/>
        </w:rPr>
        <w:t xml:space="preserve">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</w:t>
      </w:r>
      <w:r w:rsidRPr="00867B3A">
        <w:rPr>
          <w:sz w:val="28"/>
          <w:szCs w:val="27"/>
        </w:rPr>
        <w:t>й</w:t>
      </w:r>
      <w:r w:rsidRPr="00867B3A">
        <w:rPr>
          <w:sz w:val="28"/>
          <w:szCs w:val="27"/>
        </w:rPr>
        <w:t>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</w:t>
      </w:r>
      <w:r w:rsidRPr="00867B3A">
        <w:rPr>
          <w:sz w:val="28"/>
          <w:szCs w:val="27"/>
        </w:rPr>
        <w:t>н</w:t>
      </w:r>
      <w:r w:rsidRPr="00867B3A">
        <w:rPr>
          <w:sz w:val="28"/>
          <w:szCs w:val="27"/>
        </w:rPr>
        <w:t>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>простране</w:t>
      </w:r>
      <w:r w:rsidR="00B212B6" w:rsidRPr="00867B3A">
        <w:rPr>
          <w:sz w:val="28"/>
          <w:szCs w:val="27"/>
        </w:rPr>
        <w:t>н</w:t>
      </w:r>
      <w:r w:rsidR="00B212B6" w:rsidRPr="00867B3A">
        <w:rPr>
          <w:sz w:val="28"/>
          <w:szCs w:val="27"/>
        </w:rPr>
        <w:t xml:space="preserve">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</w:t>
      </w:r>
      <w:r w:rsidR="00B212B6" w:rsidRPr="00867B3A">
        <w:rPr>
          <w:sz w:val="28"/>
          <w:szCs w:val="27"/>
        </w:rPr>
        <w:t>о</w:t>
      </w:r>
      <w:r w:rsidR="00B212B6" w:rsidRPr="00867B3A">
        <w:rPr>
          <w:sz w:val="28"/>
          <w:szCs w:val="27"/>
        </w:rPr>
        <w:t>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>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67" w:rsidRDefault="008D5267" w:rsidP="00817BE6">
      <w:pPr>
        <w:spacing w:after="0" w:line="240" w:lineRule="auto"/>
      </w:pPr>
      <w:r>
        <w:separator/>
      </w:r>
    </w:p>
  </w:endnote>
  <w:endnote w:type="continuationSeparator" w:id="0">
    <w:p w:rsidR="008D5267" w:rsidRDefault="008D526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67" w:rsidRDefault="008D5267" w:rsidP="00817BE6">
      <w:pPr>
        <w:spacing w:after="0" w:line="240" w:lineRule="auto"/>
      </w:pPr>
      <w:r>
        <w:separator/>
      </w:r>
    </w:p>
  </w:footnote>
  <w:footnote w:type="continuationSeparator" w:id="0">
    <w:p w:rsidR="008D5267" w:rsidRDefault="008D526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1CF7-5DC1-4093-827B-98615B5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15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97</cp:revision>
  <dcterms:created xsi:type="dcterms:W3CDTF">2016-10-09T16:26:00Z</dcterms:created>
  <dcterms:modified xsi:type="dcterms:W3CDTF">2019-11-06T16:41:00Z</dcterms:modified>
</cp:coreProperties>
</file>