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w:t>
      </w:r>
      <w:r w:rsidR="008B04F6" w:rsidRPr="008B04F6">
        <w:rPr>
          <w:rFonts w:ascii="Times New Roman" w:eastAsia="Calibri" w:hAnsi="Times New Roman" w:cs="Times New Roman"/>
          <w:i/>
          <w:sz w:val="24"/>
          <w:szCs w:val="24"/>
        </w:rPr>
        <w:t>Избирательное право и избирательный процесс</w:t>
      </w:r>
      <w:r w:rsidRPr="00D86554">
        <w:rPr>
          <w:rFonts w:ascii="Times New Roman" w:eastAsia="Calibri" w:hAnsi="Times New Roman" w:cs="Times New Roman"/>
          <w:i/>
          <w:sz w:val="24"/>
          <w:szCs w:val="24"/>
        </w:rPr>
        <w:t>»</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934D3"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r w:rsidR="00D86554"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33305E"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xml:space="preserve">№ 6 от </w:t>
      </w:r>
      <w:r w:rsidR="00603371">
        <w:rPr>
          <w:rFonts w:ascii="Times New Roman" w:eastAsia="Calibri" w:hAnsi="Times New Roman" w:cs="Times New Roman"/>
          <w:sz w:val="24"/>
          <w:u w:val="single"/>
        </w:rPr>
        <w:t>18.02</w:t>
      </w:r>
      <w:r w:rsidRPr="00797612">
        <w:rPr>
          <w:rFonts w:ascii="Times New Roman" w:eastAsia="Calibri" w:hAnsi="Times New Roman" w:cs="Times New Roman"/>
          <w:sz w:val="24"/>
          <w:u w:val="single"/>
        </w:rPr>
        <w:t>.20</w:t>
      </w:r>
      <w:r w:rsidR="00603371">
        <w:rPr>
          <w:rFonts w:ascii="Times New Roman" w:eastAsia="Calibri" w:hAnsi="Times New Roman" w:cs="Times New Roman"/>
          <w:sz w:val="24"/>
          <w:u w:val="single"/>
        </w:rPr>
        <w:t>2</w:t>
      </w:r>
      <w:r w:rsidR="0033305E">
        <w:rPr>
          <w:rFonts w:ascii="Times New Roman" w:eastAsia="Calibri" w:hAnsi="Times New Roman" w:cs="Times New Roman"/>
          <w:sz w:val="24"/>
          <w:u w:val="single"/>
        </w:rPr>
        <w:t>2</w:t>
      </w:r>
      <w:r w:rsidRPr="00797612">
        <w:rPr>
          <w:rFonts w:ascii="Times New Roman" w:eastAsia="Calibri" w:hAnsi="Times New Roman" w:cs="Times New Roman"/>
          <w:sz w:val="24"/>
          <w:u w:val="single"/>
        </w:rPr>
        <w:t xml:space="preserve">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09"/>
        <w:gridCol w:w="3544"/>
        <w:gridCol w:w="1559"/>
      </w:tblGrid>
      <w:tr w:rsidR="00603371" w:rsidRPr="00603371" w:rsidTr="00603371">
        <w:trPr>
          <w:tblHeader/>
        </w:trPr>
        <w:tc>
          <w:tcPr>
            <w:tcW w:w="2178"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формируемых компетенций</w:t>
            </w:r>
          </w:p>
        </w:tc>
        <w:tc>
          <w:tcPr>
            <w:tcW w:w="2409"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Виды оценочных средств по уровню сложности/шифр раздела в данном документе</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 Способен давать квалифицированные юридические заключения и консультации в конкретных видах юридической деятельности</w:t>
            </w: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ПК*-8-В-1 Выделяет юридически значимые обстоятельства, анализирует нормы права и практику правоприменения</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Знать: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основы избирательного законодательства;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принципы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виды избирательных систем, их применение в Российской Федерации;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правового статуса субъектов избирательных правоотношений;</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и содержание основных и дополнительных (факультативных) стадий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сущность информационного обеспечения и финансирования выборов;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порядок рассмотрения избирательных споров;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порядок привлечения к юридической ответственности за нарушения избирательного законодательства</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Уметь: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анализировать нормы избирательного права и практику правоприменения на различных стадиях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консультировать различных участников избирательных </w:t>
            </w:r>
            <w:r w:rsidRPr="00603371">
              <w:rPr>
                <w:rFonts w:ascii="Times New Roman" w:eastAsia="Calibri" w:hAnsi="Times New Roman" w:cs="Times New Roman"/>
                <w:sz w:val="24"/>
              </w:rPr>
              <w:lastRenderedPageBreak/>
              <w:t>правоотношений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03371" w:rsidRPr="00382A75"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603371" w:rsidRPr="00603371" w:rsidRDefault="00603371" w:rsidP="00603371">
            <w:pPr>
              <w:suppressAutoHyphens/>
              <w:spacing w:after="0" w:line="240" w:lineRule="auto"/>
              <w:rPr>
                <w:rFonts w:ascii="Times New Roman" w:eastAsia="Calibri" w:hAnsi="Times New Roman" w:cs="Times New Roman"/>
                <w:b/>
                <w:sz w:val="24"/>
                <w:u w:val="single"/>
              </w:rPr>
            </w:pP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Владеть: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анализа норм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sidRPr="00603371">
              <w:rPr>
                <w:rFonts w:ascii="Times New Roman" w:eastAsia="Calibri" w:hAnsi="Times New Roman" w:cs="Times New Roman"/>
                <w:sz w:val="24"/>
              </w:rPr>
              <w:t>- навыками консультирования участников избирательных правоотношений и работы с обращениями граждан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482C55" w:rsidRDefault="00482C55"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Pr="00D86554" w:rsidRDefault="00603371"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33305E" w:rsidRPr="0033305E">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Вопросы для</w:t>
      </w:r>
      <w:r>
        <w:rPr>
          <w:rFonts w:ascii="Times New Roman" w:eastAsia="Times New Roman" w:hAnsi="Times New Roman" w:cs="Times New Roman"/>
          <w:sz w:val="24"/>
          <w:szCs w:val="24"/>
          <w:lang w:eastAsia="ru-RU"/>
        </w:rPr>
        <w:t xml:space="preserve"> устного</w:t>
      </w:r>
      <w:r w:rsidRPr="00603371">
        <w:rPr>
          <w:rFonts w:ascii="Times New Roman" w:eastAsia="Times New Roman" w:hAnsi="Times New Roman" w:cs="Times New Roman"/>
          <w:sz w:val="24"/>
          <w:szCs w:val="24"/>
          <w:lang w:eastAsia="ru-RU"/>
        </w:rPr>
        <w:t xml:space="preserve"> опроса: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Классификация субъектов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является особым субъектом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Являются ли субъектами избирательных правоотношений СМИ?</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Суд как особый субъект избирательных правоотношений;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избирателя;</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Условие для признания гражданина избирателем;</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Могут ли иностранные граждане принимать участие в выборах? Если да, то в каких?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Основание для включения избирателя в список избирателей;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Что такое избирательное объединение?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составляет список избирательных объединений, имеющих право участвовать в выборах?</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избирательного объединения в избирательном процессе;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выдвинутого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зарегистрированного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Кто такой избранный кандидат?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Гарантии свободной реализации прав и обязанностей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В каких случаях утрачивается статус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Доверенное лицо: понятие, регистрация, полномочия;</w:t>
      </w:r>
    </w:p>
    <w:p w:rsid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Наблюдатель: понятие, назначение, ограничения, права.</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Default="003F0708" w:rsidP="00B90E2E">
      <w:pPr>
        <w:spacing w:after="0" w:line="240" w:lineRule="auto"/>
        <w:ind w:firstLine="709"/>
        <w:jc w:val="both"/>
        <w:rPr>
          <w:rFonts w:ascii="Times New Roman" w:eastAsia="Times New Roman" w:hAnsi="Times New Roman" w:cs="Times New Roman"/>
          <w:sz w:val="24"/>
          <w:szCs w:val="24"/>
        </w:rPr>
      </w:pP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sidRPr="00603371">
        <w:rPr>
          <w:rFonts w:ascii="Times New Roman" w:eastAsia="Times New Roman" w:hAnsi="Times New Roman" w:cs="Times New Roman"/>
          <w:i/>
          <w:sz w:val="24"/>
          <w:szCs w:val="24"/>
        </w:rPr>
        <w:t>Вопросы для устного опроса: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t>
      </w:r>
      <w:r w:rsidRPr="00603371">
        <w:rPr>
          <w:rFonts w:ascii="Times New Roman" w:eastAsia="Times New Roman" w:hAnsi="Times New Roman" w:cs="Times New Roman"/>
          <w:i/>
          <w:sz w:val="24"/>
          <w:szCs w:val="24"/>
        </w:rPr>
        <w:tab/>
        <w:t xml:space="preserve">Избиратель как субъект избирательных правоотношений: понятие активного избирательного права, ограничения активного избирательного права, гарантии активного избирательного права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Кандидат как субъект избирательных правоотношений: понятие пассивного избирательного права, ограничения пассивного избирательного права, гарантии обеспечения принципа равенства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Особенности правового статуса кандидатов в Президенты РФ, депутаты Государственной Думы РФ, на должность высшего должностного лица субъекта РФ, в депутаты законодательных (представительны) органов субъектов РФ, главы муниципального образования, в депутаты представительного органа муниципального образования</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Доверенные лица: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Требования к доверенным лицам, полномочия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права и обязанности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Международный наблюдатель: понятие, порядок получения разрешения на въезд в Российскую Федерацию, порядок выдачи удостоверения, срок полномочий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требования к наблюдателям, субъекты, имеющие право назначить наблюдателя; порядок удостоверения наблюдателей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Уполномоченные представители: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Средства массовой информации как субъект избирательных правоотношений: особенности участия в избирательном процессе, аккредитация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Формы и способы участи политических партий в избирательном процессе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Политическая партия: понятие, законодательное регулирование, требования к политической партии</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3.8 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Какие ограничения могут устанавливать субъекты РФ? Оцените действия избирательной комиссии с точки зрения закона.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3.9 Определите какое решение должен принять суд в следующей ситуации. 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3.10 Краснов обратился в суд с заявлением о признании недействующими ст. 12 Закона Н-ской области «О выборах в органы местного самоуправления в Н-ской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Судом было установлено, что ст. 12 Закона Н-ской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 Дайте правовую оценку описанной ситуации, опираясь на положения действующего законодательства.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xml:space="preserve">3.11 В помещении для голосования вправе присутствовать и наблюдать за ходом голосования: </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кандидаты;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иностранные наблюдатели;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СМИ;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органов государственной власти и МСУ;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наблюдатели от избирателей;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избиратели.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3.12 Подсчет голосов избирателей осуществляется: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участковой избирательной комиссии;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территориальной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окружной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комиссии с правом совещательного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lastRenderedPageBreak/>
        <w:t>- наблюдателями;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уполномоченными представителями кандидатов;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работниками органов МСУ совместно с доверенными лицами кандидатов.</w:t>
      </w:r>
    </w:p>
    <w:p w:rsidR="0090126E"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Выберите правильный ответ и обоснуйте свой выбор? Почему иные субъекты избирательных правоотношений не имеют право на подсчет голосов избирателей? Какие у них права на стадиях избирательного процесс?</w:t>
      </w:r>
    </w:p>
    <w:p w:rsidR="00D21359" w:rsidRPr="00D86554" w:rsidRDefault="00D21359" w:rsidP="00D21359">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4.4 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состав и порядок формирования избирательной комиссии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4.5 Избирательная комиссия приняла решение о прекращении полномочий одного из ее членов с правом решающего голоса, поскольку последний не посещал заседания избирательной комиссии. Законно ли решение избирательной комиссии? Каков порядок прекращения полномочий членов избирательной комиссии с правом решающего голоса? В чем отличия члена избирательной комиссии с правом совещательного голоса и с правом решающего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4.6 Против члена избирательной комиссии с правом совещательного голоса было возбуждено уголовное дело. Он обжаловал данное постановление о возбуждении уголовного дела, ссылаясь на избирательное законодательство, которое наделяет члена комиссии в период проведения выборов неприкосновенностью. Прав ли указанный член комиссии? Что включает в себя понятие неприкосновенности члена комиссии? Может ли лен комиссии быть лишен неприкосновенности? Если, да то в каком порядке?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4.7 Территориальная избирательная комиссия признала результаты выборов депутата представительного органа муниципального образования по одному из избирательных округов недействительными. Избирательная комиссия субъекта РФ отменила решение ТИК по заявлению одного из кандидатов. Аналогичная жалоба была подана и в суд. ТИК своим решением приостановила постановление избирательной комиссии субъекта РФ. В свою очередь избирательная комиссия субъекта РФ обратилась в суд с требованием признать незаконными действия ТИК, поскольку последняя является нижестоящей избирательной комиссией и отказывается выполнять решение вышестоящей избирательной комиссии. Проанализируйте ситуацию со ссылками на действующее законодательство и судебную практику. Какое решение должен принять суд в данной ситуации? В каких случаях и какая избирательная комиссия является вышестоящей?</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 xml:space="preserve">Приказом главного редактора радиостанции сотруднику радиостанции было объявлено дисциплинарное взыскание в виде выговора за то, что, выступая с </w:t>
      </w:r>
      <w:r w:rsidR="00BA2CA7" w:rsidRPr="00D86554">
        <w:rPr>
          <w:rFonts w:ascii="Times New Roman" w:hAnsi="Times New Roman" w:cs="Times New Roman"/>
          <w:sz w:val="24"/>
          <w:szCs w:val="24"/>
        </w:rPr>
        <w:lastRenderedPageBreak/>
        <w:t>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w:t>
      </w:r>
      <w:r w:rsidR="0047204F" w:rsidRPr="00D86554">
        <w:rPr>
          <w:rFonts w:ascii="Times New Roman" w:hAnsi="Times New Roman" w:cs="Times New Roman"/>
          <w:sz w:val="24"/>
          <w:szCs w:val="24"/>
        </w:rPr>
        <w:lastRenderedPageBreak/>
        <w:t xml:space="preserve">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4.10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г) Кандидатом вместо общей площади квартиры, принадлежащей ему на праве собственности и составляющей 89,3 кв.м., указана жилая площадь 78 кв.м.</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4.11 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4.12 В постановлении избирательной комиссии субъекта РФ указывалось что выдвижение кандидатов в депутаты представительных органов муниципального образования осуществляется группами избирателей, избирательными объединениями. Баллотироваться при этом кандидаты могут независимо от места проживания. Избирательная комиссия одного из муниципальных образований не согласилась с таким постановлением и обратилась в суд. В ведении какого суда будет находится данное дело? Правилами какого нормативного акта будет регламентирован процесс обращения в суд по данному делу? Каково будет решение суд? Какие избирательные объединения имеют право участвовать в избирательном процессе и выдвигать кандидатов? Каков порядок выдвижения кандидатов в депутаты представительных органов муниципальных образований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4.13 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со ссылкой на нормы законодательства. Что такое предвыборная агитация? Какие ограничения при предвыборной агитации существуют?</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Избирательная комиссия субъекта РФ в своем постановлении указала, что любые заявления и действия, касающиеся выборов, осуществленные до объявления избирательной кампании, являются незаконным проведением предвыборной агитации. В случае обнаружения факта совершения подобных действий потенциальными кандидатами данная избирательная комиссия вправе признать выборы несостоявшимися. С какого момента начинается предвыборная агитация? Проанализируйте решение избирательной комиссии. Какова позиция Конституционного Суда РФ по данному вопросу?</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В прокуратуру субъекта РФ поступило письмо председателя областной избирательной комиссии с просьбой привлечь к административной ответственности руководителя одного из общественных объединений. В письме описывалась ситуация, когда до назначения выборов указанный руководитель публично негативно отзывался о некоторых других общественных объединениях. По мнению председателя избирательной комиссии, указанные действия являлись нарушением правил ведения предвыборной агитации. Составьте мотивированный ответ прокурора со ссылками на нормы избирательного законодательства.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4.15 З. обжаловал в суд действия окружной избирательной комиссии N-ского одномандатного избирательного округа по выборам депутата Законодательного собрания субъекта РФ, которой ему было отказано в размещении в избирательном бюллетене сведений о том, что он является Героем России, инвалидом I группы, ветераном Афганистана и Чечни, бывшим командиром разведгруппы спецназа, участником спецопераций по обезвреживанию террористов и освобождению заложников в г. Ростове-на-Дону в 1993 г., в г. Буденновске и в с. Первомайском, а также писателем. Решите данный спор. Какие сведения должны содержаться в избирательном бюллетене?</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4.16 В избирательную комиссию обратилась гражданка, просившая предоставить ей возможность проголосовать за себя и членов своей семьи. При этом она имела их паспорта. Председатель участковой избирательной комиссии разрешил ей это сделать, поскольку это, по его мнению, приведет к увеличению явки избирателей и обеспечит успешный результат выборов. Дайте правовую оценку ситуации.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4.17 В день голосования с тем, чтобы значительно повысить явку избирателей на участки, некоторые из кандидатов на должность главы муниципальн ого образования предоставляли избирателям транспорт для доставки их на избирательные участки. По мнению наблюдателей, это грубое нарушение избирательного законодательства. Так ли это?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4.18 Подсчет голосов избирателей осуществляется: членами участковой избирательной комиссии; территориальной избирательной комиссией; окружной избирательной комиссией; членами комиссии с правом совещательного голоса; наблюдателями; штабами поддержки кандидатов; работниками органов местного самоуправления совместно с доверенными лицами кандидатов? Выберите правильный ответ и обоснуйте свой выбор.</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4.19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может быть только одна отметка, а в этом бюллетене в одном квадрате галочка, а еще в одном точка;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весь бюллетень исписан ненормативной лексикой;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имеется отметка, но она сделана карандашом;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его нижняя часть, в которой есть еще один квадрат, оторвана.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47204F"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4.20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D21359" w:rsidRDefault="00D21359"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w:t>
      </w:r>
      <w:r w:rsidR="0090126E" w:rsidRPr="00D86554">
        <w:rPr>
          <w:rFonts w:ascii="Times New Roman" w:hAnsi="Times New Roman" w:cs="Times New Roman"/>
          <w:sz w:val="24"/>
          <w:szCs w:val="24"/>
        </w:rPr>
        <w:lastRenderedPageBreak/>
        <w:t xml:space="preserve">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7.2 А. обжаловал в суд решение территориальной избирательной комиссии, которым ему было отказано в регистрации кандидатом в депутаты областной Думы. Основанием для принятия данного решения послужило то, что договор об открытии специального избирательного счета в отделении Сбербанка РФ от имени А. был заключен М. по выданной А. доверенности, в то время как согласно нормам областного закона о выборах кандидат вправе поручить открытие специального избирательного счета уполномоченному представителю по финансовым вопросам, зарегистрированному в установленном порядке. Но А. в адрес комиссии документы, необходимые для регистрации уполномоченного представителя кандидата по финансовым вопросам, не представил. В связи с указанным и в силу ст. 167, 168 ГК РФ действия М. по открытию специального избирательного счета для его доверителя не влекут за собой юридически значимых последствий. Самим А. действий по открытию счета не предпринималось, а без открытия последнего избирательный фонд не может быть сформирован. Каким, по вашему мнению, должно быть решение суда? Квалифицируйте ситуацию с точки зрения избирательного законодательства.</w:t>
      </w:r>
    </w:p>
    <w:p w:rsidR="0090126E"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7.3 Какую максимальную сумму денежных средств могут потратить на финансирование собственных избирательных кампаний лица, зарегистрированные кандидатами в Президенты РФ, а также избирательные объединения на выборах депутатов в Государственную Думу Федерального Собрания РФ, кандидаты, зарегистрированные кандидаты в депутаты законодательных (представительных) органов субъектов РФ (на примере Оренбургской области) и на выборные должности органов местного самоуправления (на примере муниципального образования город Бузулук Оренбургской области)?</w:t>
      </w:r>
      <w:r>
        <w:rPr>
          <w:rFonts w:ascii="Times New Roman" w:hAnsi="Times New Roman" w:cs="Times New Roman"/>
          <w:sz w:val="24"/>
          <w:szCs w:val="24"/>
        </w:rPr>
        <w:t xml:space="preserve"> </w:t>
      </w:r>
      <w:r w:rsidRPr="00D21359">
        <w:rPr>
          <w:rFonts w:ascii="Times New Roman" w:hAnsi="Times New Roman" w:cs="Times New Roman"/>
          <w:sz w:val="24"/>
          <w:szCs w:val="24"/>
        </w:rPr>
        <w:t>Проанализируйте соответствующие законы и дайте ответ путем составления соответствующей таблицы.</w:t>
      </w:r>
      <w:r w:rsidR="0090126E" w:rsidRPr="00D86554">
        <w:rPr>
          <w:rFonts w:ascii="Times New Roman" w:hAnsi="Times New Roman" w:cs="Times New Roman"/>
          <w:sz w:val="24"/>
          <w:szCs w:val="24"/>
        </w:rPr>
        <w:t xml:space="preserve">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w:t>
      </w:r>
      <w:r w:rsidR="0090126E" w:rsidRPr="00D86554">
        <w:rPr>
          <w:rFonts w:ascii="Times New Roman" w:hAnsi="Times New Roman" w:cs="Times New Roman"/>
          <w:sz w:val="24"/>
          <w:szCs w:val="24"/>
        </w:rPr>
        <w:lastRenderedPageBreak/>
        <w:t xml:space="preserve">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w:t>
      </w:r>
      <w:r w:rsidR="0090126E" w:rsidRPr="00D86554">
        <w:rPr>
          <w:rFonts w:ascii="Times New Roman" w:hAnsi="Times New Roman" w:cs="Times New Roman"/>
          <w:sz w:val="24"/>
          <w:szCs w:val="24"/>
        </w:rPr>
        <w:lastRenderedPageBreak/>
        <w:t>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Pr="00D21359">
        <w:rPr>
          <w:rFonts w:ascii="Times New Roman" w:hAnsi="Times New Roman" w:cs="Times New Roman"/>
          <w:sz w:val="24"/>
          <w:szCs w:val="24"/>
        </w:rPr>
        <w:t xml:space="preserve"> При проверке подписных листов, собранных в поддержку кандидатов по выборам главы муниципального образования, в избирательной комиссии возник спор. Основанием его стали данные об избирателе, которые должны вноситься только избирателем. Одни полагали, что все данные должны быть внесены самим избирателем, другие утверждали, что это требуется только в отношении подписи избирателя. Каково ваше мнение по этому поводу? Примите решение в роли члена избирательной комиссии</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D21359">
        <w:rPr>
          <w:rFonts w:ascii="Times New Roman" w:hAnsi="Times New Roman" w:cs="Times New Roman"/>
          <w:sz w:val="24"/>
          <w:szCs w:val="24"/>
        </w:rPr>
        <w:t xml:space="preserve"> В пользу гражданина А., являющегося одновременно гражданином другого государства, были собраны и представлены в избирательную комиссию подписные листы. Избирательная комиссия, однако, сочла их все недействительными. В чем, по вашему мнению, причина?</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Pr="00D21359">
        <w:rPr>
          <w:rFonts w:ascii="Times New Roman" w:hAnsi="Times New Roman" w:cs="Times New Roman"/>
          <w:sz w:val="24"/>
          <w:szCs w:val="24"/>
        </w:rPr>
        <w:t xml:space="preserve"> Граждане, осуществлявшие сбор подписей избирателей в поддержку выдвижения списка кандидатов, одновременно информировали избирателей о соответствующем списке кандидатов. В частности, они раздавали людям печатные информационные материалы, содержащие сведения о кандидатах этого списка. В избирательную комиссию была направлена жалоба, общий смысл которой заключался в том, что агитация за список кандидатов возможна только с момента его регистрации. Каким должен быть вывод избирательной комиссии? Примите решение в роли члена избирательной комиссии</w:t>
      </w:r>
    </w:p>
    <w:p w:rsid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Pr="00D21359">
        <w:rPr>
          <w:rFonts w:ascii="Times New Roman" w:hAnsi="Times New Roman" w:cs="Times New Roman"/>
          <w:sz w:val="24"/>
          <w:szCs w:val="24"/>
        </w:rPr>
        <w:t xml:space="preserve"> Кого должен известить прокурор в случае дачи согласия на привлечение кандидата к уголовной ответственности и на его арест? Участковую избирательную комиссию; избирательную комиссию субъекта РФ; окружную избирательную комиссию; ЦИК</w:t>
      </w:r>
    </w:p>
    <w:p w:rsidR="00D21359" w:rsidRDefault="00D21359" w:rsidP="0090126E">
      <w:pPr>
        <w:spacing w:after="0" w:line="240" w:lineRule="auto"/>
        <w:ind w:firstLine="709"/>
        <w:jc w:val="both"/>
        <w:rPr>
          <w:rFonts w:ascii="Times New Roman" w:hAnsi="Times New Roman" w:cs="Times New Roman"/>
          <w:sz w:val="24"/>
          <w:szCs w:val="24"/>
        </w:rPr>
      </w:pPr>
    </w:p>
    <w:p w:rsidR="00D21359" w:rsidRPr="00D21359" w:rsidRDefault="00D21359" w:rsidP="00D21359">
      <w:pPr>
        <w:spacing w:after="0" w:line="240" w:lineRule="auto"/>
        <w:ind w:firstLine="709"/>
        <w:jc w:val="both"/>
        <w:rPr>
          <w:rFonts w:ascii="Times New Roman" w:hAnsi="Times New Roman" w:cs="Times New Roman"/>
          <w:b/>
          <w:sz w:val="24"/>
          <w:szCs w:val="24"/>
        </w:rPr>
      </w:pPr>
      <w:r w:rsidRPr="00D21359">
        <w:rPr>
          <w:rFonts w:ascii="Times New Roman" w:hAnsi="Times New Roman" w:cs="Times New Roman"/>
          <w:b/>
          <w:sz w:val="24"/>
          <w:szCs w:val="24"/>
        </w:rPr>
        <w:t>Ситуационные задания</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D21359">
        <w:rPr>
          <w:rFonts w:ascii="Times New Roman" w:hAnsi="Times New Roman" w:cs="Times New Roman"/>
          <w:sz w:val="24"/>
          <w:szCs w:val="24"/>
        </w:rPr>
        <w:t xml:space="preserve"> Ш. обратился в Верховный Суд Республики N с заявлением об отмене решения окружной избирательной комиссии по выборам депутата Верховного Совета Республики N, которым ему было отказано в регистрации кандидатом в депутаты в связи с выявлением более 25% недействительных подписей избирателей, собранных в поддержку </w:t>
      </w:r>
      <w:r w:rsidRPr="00D21359">
        <w:rPr>
          <w:rFonts w:ascii="Times New Roman" w:hAnsi="Times New Roman" w:cs="Times New Roman"/>
          <w:sz w:val="24"/>
          <w:szCs w:val="24"/>
        </w:rPr>
        <w:lastRenderedPageBreak/>
        <w:t>его кандидатуры. В подтверждение своего требования он указал, что избирательная комиссия незаконно признала недействительными 260 подписей избирателей в подписных листах, собранных в поддержку его кандидатуры. Неполные данные в графе «адрес места жительства» избирателей, в частности отсутствие наименования субъекта РФ (Республика N), не могло быть основанием к отказу в регистрации. Члены комиссии с заявлением Ш. не согласились, указав, что отсутствие в графе «адрес места жительства избирателей» одного из обязательных требуемых данных — наименования Республики — обоснованно послужило основанием для признания подписей избирателей, представленных в поддержку кандидатуры Ш., недействительными и для отказа в его регистрации. Избирательной комиссией были представлены суду 300 подписей избирателей, собранных в поддержку Ш., из которых 30 подписей были исключены из общего количества подписей как принадлежащие гражданам, проживающим за пределами избирательного округа, в котором баллотировался Ш., и 260 подписей избирателей, которые были признаны недействительными в связи с отсутствием полного наименования места жительства избирателей (отсутствие наименования субъекта — Республика N). Разрешите данный спор и дайте юридическое заключение по данной ситуации.</w:t>
      </w:r>
    </w:p>
    <w:p w:rsidR="00D21359" w:rsidRPr="00D86554"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Pr="00D21359">
        <w:rPr>
          <w:rFonts w:ascii="Times New Roman" w:hAnsi="Times New Roman" w:cs="Times New Roman"/>
          <w:sz w:val="24"/>
          <w:szCs w:val="24"/>
        </w:rPr>
        <w:t xml:space="preserve"> К. обратился в Верховный Суд РФ с заявлением, сославшись на то, что в ходе проведения избирательной кампании в результате бездействия ЦИК РФ были допущены нарушения его избирательных прав как кандидата в депутаты, которые не позволили, по его мнению, выявить действительную волю избирателей. Свои доводы К. основывал тем, что в период проведения избирательной кампании он находился под стражей и ему было отказано в изменении данной меры пресечения следственными органами, в связи с чем его положение «содержащегося под стражей» повлияло на результаты выборов, так как он не мог вести агитационную деятельность в полной мере.</w:t>
      </w:r>
      <w:r>
        <w:rPr>
          <w:rFonts w:ascii="Times New Roman" w:hAnsi="Times New Roman" w:cs="Times New Roman"/>
          <w:sz w:val="24"/>
          <w:szCs w:val="24"/>
        </w:rPr>
        <w:t xml:space="preserve"> </w:t>
      </w:r>
      <w:r w:rsidRPr="00D21359">
        <w:rPr>
          <w:rFonts w:ascii="Times New Roman" w:hAnsi="Times New Roman" w:cs="Times New Roman"/>
          <w:sz w:val="24"/>
          <w:szCs w:val="24"/>
        </w:rPr>
        <w:t>Каким должно быть решение суда?</w:t>
      </w:r>
      <w:r>
        <w:rPr>
          <w:rFonts w:ascii="Times New Roman" w:hAnsi="Times New Roman" w:cs="Times New Roman"/>
          <w:sz w:val="24"/>
          <w:szCs w:val="24"/>
        </w:rPr>
        <w:t xml:space="preserve"> </w:t>
      </w:r>
      <w:r w:rsidRPr="00D21359">
        <w:rPr>
          <w:rFonts w:ascii="Times New Roman" w:hAnsi="Times New Roman" w:cs="Times New Roman"/>
          <w:sz w:val="24"/>
          <w:szCs w:val="24"/>
        </w:rPr>
        <w:t xml:space="preserve"> Назовите основания для отмены судом решения избирательной комиссии об итогах голосования, о результатах выборов в избирательном округе, в частности, в случаях нарушения правил определения результатов выборов, незаконного отказа в регистрации кандидата, а также других нарушений избирательного законодательства, если эти нарушения не позволяют выявить действительную волю избирателей.</w:t>
      </w:r>
      <w:r>
        <w:rPr>
          <w:rFonts w:ascii="Times New Roman" w:hAnsi="Times New Roman" w:cs="Times New Roman"/>
          <w:sz w:val="24"/>
          <w:szCs w:val="24"/>
        </w:rPr>
        <w:t xml:space="preserve"> </w:t>
      </w:r>
      <w:r w:rsidRPr="00D21359">
        <w:rPr>
          <w:rFonts w:ascii="Times New Roman" w:hAnsi="Times New Roman" w:cs="Times New Roman"/>
          <w:sz w:val="24"/>
          <w:szCs w:val="24"/>
        </w:rPr>
        <w:t>Имел ли право ЦИК РФ выдать разрешение К. на встречи с доверенными лицами, освобождать его от ознакомления с материалами уголовного дела, разрешать вопросы о перемещении обвиняемого, обладающего статусом кандидата в депутаты, за пределы следственного изолятора для проведения им агитационных мероприятий, а также давать какие-либо указания должностным лицам органов прокуратуры?</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3.2 Составить схему «Способы и основания выдвижения кандидатов на пост Президента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10.01.2003 № 19-ФЗ «О выборах Президента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3.3 Составить схему «Способы и основания выдвижения кандидатов в депутаты Государственной Думы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22.02.2014 № 20-ФЗ «О выборах депутатов Государственной Думы Федерального Собрания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3.4 Составить схему «Способы и основания выдвижения кандидатов на должность главы субъекта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25 июня 2012 года № 883/250-V-ОЗ «О выборах Губернатора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3.5 Составить схему «Способы и основания выдвижения кандидатов в депутаты законодательных (представительных) органов государственной власти субъектов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16 ноября 2005 года № 2711/469-III-ОЗ «О выборах депутатов Законодательного Собрания Оренбургской области»)</w:t>
      </w:r>
    </w:p>
    <w:p w:rsidR="004E7FC3"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3.6 Составить схему «Способы и основания выдвижения кандидатов в депутаты представительных органов муниципальных образований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закона Оренбургской области от 05 ноября 2009 года № 3209/719-IV-ОЗ «О выборах депутатов представительных органов муниципальных образований в Оренбургской области»)</w:t>
      </w:r>
    </w:p>
    <w:p w:rsidR="00D21359" w:rsidRPr="00D86554"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contextualSpacing/>
        <w:jc w:val="both"/>
        <w:rPr>
          <w:rFonts w:ascii="Times New Roman" w:eastAsia="Times New Roman" w:hAnsi="Times New Roman" w:cs="Times New Roman"/>
          <w:sz w:val="24"/>
          <w:szCs w:val="24"/>
          <w:lang w:eastAsia="ru-RU"/>
        </w:rPr>
      </w:pPr>
      <w:r w:rsidRPr="001F69DB">
        <w:rPr>
          <w:rFonts w:ascii="Times New Roman" w:eastAsia="Times New Roman" w:hAnsi="Times New Roman" w:cs="Times New Roman"/>
          <w:sz w:val="24"/>
          <w:szCs w:val="24"/>
        </w:rPr>
        <w:t xml:space="preserve">4.4 </w:t>
      </w:r>
      <w:r w:rsidRPr="001F69DB">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013"/>
        <w:gridCol w:w="2552"/>
        <w:gridCol w:w="2268"/>
      </w:tblGrid>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Оренбургской области</w:t>
            </w: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комиссия (г. Бузулука или Бузулукского района</w:t>
            </w: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4.5</w:t>
      </w:r>
      <w:r w:rsidRPr="001F69DB">
        <w:rPr>
          <w:rFonts w:ascii="Times New Roman" w:eastAsia="Times New Roman" w:hAnsi="Times New Roman" w:cs="Times New Roman"/>
          <w:sz w:val="24"/>
          <w:szCs w:val="24"/>
          <w:lang w:eastAsia="ru-RU"/>
        </w:rPr>
        <w:t xml:space="preserve"> Состав и поря</w:t>
      </w:r>
      <w:r w:rsidRPr="001F69DB">
        <w:rPr>
          <w:rFonts w:ascii="Times New Roman" w:eastAsia="Times New Roman" w:hAnsi="Times New Roman" w:cs="Times New Roman"/>
          <w:sz w:val="24"/>
          <w:szCs w:val="24"/>
          <w:lang w:eastAsia="ru-RU"/>
        </w:rPr>
        <w:softHyphen/>
        <w:t>док формирования ЦИК России, избирательной комиссии субъекта: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D21359" w:rsidRPr="00D86554" w:rsidTr="00C06B17">
        <w:tc>
          <w:tcPr>
            <w:tcW w:w="212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 xml:space="preserve">ной </w:t>
            </w:r>
            <w:r w:rsidRPr="00D86554">
              <w:rPr>
                <w:rFonts w:ascii="Times New Roman" w:eastAsia="Times New Roman" w:hAnsi="Times New Roman" w:cs="Times New Roman"/>
                <w:sz w:val="24"/>
                <w:szCs w:val="24"/>
                <w:lang w:eastAsia="ru-RU"/>
              </w:rPr>
              <w:lastRenderedPageBreak/>
              <w:t>комис</w:t>
            </w:r>
            <w:r w:rsidRPr="00D86554">
              <w:rPr>
                <w:rFonts w:ascii="Times New Roman" w:eastAsia="Times New Roman" w:hAnsi="Times New Roman" w:cs="Times New Roman"/>
                <w:sz w:val="24"/>
                <w:szCs w:val="24"/>
                <w:lang w:eastAsia="ru-RU"/>
              </w:rPr>
              <w:softHyphen/>
              <w:t>сии</w:t>
            </w:r>
          </w:p>
        </w:tc>
        <w:tc>
          <w:tcPr>
            <w:tcW w:w="141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 xml:space="preserve">кона от 12 июня 2002 г. № 67-ФЗ «Об </w:t>
            </w:r>
            <w:r w:rsidRPr="00D86554">
              <w:rPr>
                <w:rFonts w:ascii="Times New Roman" w:eastAsia="Times New Roman" w:hAnsi="Times New Roman" w:cs="Times New Roman"/>
                <w:sz w:val="24"/>
                <w:szCs w:val="24"/>
                <w:lang w:eastAsia="ru-RU"/>
              </w:rPr>
              <w:lastRenderedPageBreak/>
              <w:t>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D21359" w:rsidRPr="00D86554" w:rsidTr="00C06B17">
        <w:tc>
          <w:tcPr>
            <w:tcW w:w="212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На основе положений действующего законодательства составить сравнительную таблицу «</w:t>
      </w:r>
      <w:r w:rsidRPr="004A4054">
        <w:rPr>
          <w:rFonts w:ascii="Times New Roman" w:eastAsia="Times New Roman" w:hAnsi="Times New Roman" w:cs="Times New Roman"/>
          <w:bCs/>
          <w:sz w:val="24"/>
          <w:szCs w:val="24"/>
          <w:lang w:eastAsia="ru-RU"/>
        </w:rPr>
        <w:t>Особенности правового статуса доверенных лиц и членов инициативной группы по проведению референдума</w:t>
      </w:r>
      <w:r>
        <w:rPr>
          <w:rFonts w:ascii="Times New Roman" w:eastAsia="Times New Roman" w:hAnsi="Times New Roman" w:cs="Times New Roman"/>
          <w:bCs/>
          <w:sz w:val="24"/>
          <w:szCs w:val="24"/>
          <w:lang w:eastAsia="ru-RU"/>
        </w:rPr>
        <w:t>»</w:t>
      </w:r>
    </w:p>
    <w:tbl>
      <w:tblPr>
        <w:tblStyle w:val="a9"/>
        <w:tblW w:w="9493" w:type="dxa"/>
        <w:tblLook w:val="04A0" w:firstRow="1" w:lastRow="0" w:firstColumn="1" w:lastColumn="0" w:noHBand="0" w:noVBand="1"/>
      </w:tblPr>
      <w:tblGrid>
        <w:gridCol w:w="2336"/>
        <w:gridCol w:w="3471"/>
        <w:gridCol w:w="3686"/>
      </w:tblGrid>
      <w:tr w:rsidR="00D21359" w:rsidTr="00C06B17">
        <w:tc>
          <w:tcPr>
            <w:tcW w:w="2336" w:type="dxa"/>
          </w:tcPr>
          <w:p w:rsidR="00D21359" w:rsidRDefault="00D21359" w:rsidP="00C06B17">
            <w:pPr>
              <w:jc w:val="center"/>
              <w:rPr>
                <w:bCs/>
                <w:sz w:val="24"/>
                <w:szCs w:val="24"/>
              </w:rPr>
            </w:pPr>
          </w:p>
        </w:tc>
        <w:tc>
          <w:tcPr>
            <w:tcW w:w="3471" w:type="dxa"/>
          </w:tcPr>
          <w:p w:rsidR="00D21359" w:rsidRDefault="00D21359" w:rsidP="00C06B17">
            <w:pPr>
              <w:jc w:val="center"/>
              <w:rPr>
                <w:bCs/>
                <w:sz w:val="24"/>
                <w:szCs w:val="24"/>
              </w:rPr>
            </w:pPr>
            <w:r>
              <w:rPr>
                <w:bCs/>
                <w:sz w:val="24"/>
                <w:szCs w:val="24"/>
              </w:rPr>
              <w:t>Доверенные лица</w:t>
            </w:r>
          </w:p>
        </w:tc>
        <w:tc>
          <w:tcPr>
            <w:tcW w:w="3686" w:type="dxa"/>
          </w:tcPr>
          <w:p w:rsidR="00D21359" w:rsidRDefault="00D21359" w:rsidP="00C06B17">
            <w:pPr>
              <w:jc w:val="center"/>
              <w:rPr>
                <w:bCs/>
                <w:sz w:val="24"/>
                <w:szCs w:val="24"/>
              </w:rPr>
            </w:pPr>
            <w:r w:rsidRPr="004A4054">
              <w:rPr>
                <w:bCs/>
                <w:sz w:val="24"/>
                <w:szCs w:val="24"/>
              </w:rPr>
              <w:t>Член</w:t>
            </w:r>
            <w:r>
              <w:rPr>
                <w:bCs/>
                <w:sz w:val="24"/>
                <w:szCs w:val="24"/>
              </w:rPr>
              <w:t xml:space="preserve">ы </w:t>
            </w:r>
            <w:r w:rsidRPr="004A4054">
              <w:rPr>
                <w:bCs/>
                <w:sz w:val="24"/>
                <w:szCs w:val="24"/>
              </w:rPr>
              <w:t>инициативной группы по проведению референдума и иных групп участников референдума</w:t>
            </w:r>
          </w:p>
        </w:tc>
      </w:tr>
      <w:tr w:rsidR="00D21359" w:rsidTr="00C06B17">
        <w:tc>
          <w:tcPr>
            <w:tcW w:w="2336" w:type="dxa"/>
          </w:tcPr>
          <w:p w:rsidR="00D21359" w:rsidRDefault="00D21359" w:rsidP="00C06B17">
            <w:pPr>
              <w:jc w:val="both"/>
              <w:rPr>
                <w:bCs/>
                <w:sz w:val="24"/>
                <w:szCs w:val="24"/>
              </w:rPr>
            </w:pPr>
            <w:r>
              <w:rPr>
                <w:bCs/>
                <w:sz w:val="24"/>
                <w:szCs w:val="24"/>
              </w:rPr>
              <w:t>Порядок назначения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Ограничения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Прекращение полномочий</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Полномочия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w:t>
      </w:r>
      <w:r w:rsidRPr="004A4054">
        <w:rPr>
          <w:rFonts w:ascii="Times New Roman" w:eastAsia="Times New Roman" w:hAnsi="Times New Roman" w:cs="Times New Roman"/>
          <w:bCs/>
          <w:sz w:val="24"/>
          <w:szCs w:val="24"/>
          <w:lang w:eastAsia="ru-RU"/>
        </w:rPr>
        <w:t>На основе положений действующего законодательства составить сравнительную таблицу</w:t>
      </w:r>
      <w:r>
        <w:rPr>
          <w:rFonts w:ascii="Times New Roman" w:eastAsia="Times New Roman" w:hAnsi="Times New Roman" w:cs="Times New Roman"/>
          <w:bCs/>
          <w:sz w:val="24"/>
          <w:szCs w:val="24"/>
          <w:lang w:eastAsia="ru-RU"/>
        </w:rPr>
        <w:t xml:space="preserve"> «</w:t>
      </w:r>
      <w:r w:rsidRPr="004A4054">
        <w:rPr>
          <w:rFonts w:ascii="Times New Roman" w:eastAsia="Times New Roman" w:hAnsi="Times New Roman" w:cs="Times New Roman"/>
          <w:bCs/>
          <w:sz w:val="24"/>
          <w:szCs w:val="24"/>
          <w:lang w:eastAsia="ru-RU"/>
        </w:rPr>
        <w:t>Особенности правового статуса наблюдателей и уполномоченных представителей в избирательном процессе</w:t>
      </w:r>
      <w:r>
        <w:rPr>
          <w:rFonts w:ascii="Times New Roman" w:eastAsia="Times New Roman" w:hAnsi="Times New Roman" w:cs="Times New Roman"/>
          <w:bCs/>
          <w:sz w:val="24"/>
          <w:szCs w:val="24"/>
          <w:lang w:eastAsia="ru-RU"/>
        </w:rPr>
        <w:t>»</w:t>
      </w:r>
    </w:p>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tbl>
      <w:tblPr>
        <w:tblStyle w:val="a9"/>
        <w:tblW w:w="9352" w:type="dxa"/>
        <w:tblLook w:val="04A0" w:firstRow="1" w:lastRow="0" w:firstColumn="1" w:lastColumn="0" w:noHBand="0" w:noVBand="1"/>
      </w:tblPr>
      <w:tblGrid>
        <w:gridCol w:w="2830"/>
        <w:gridCol w:w="3119"/>
        <w:gridCol w:w="3403"/>
      </w:tblGrid>
      <w:tr w:rsidR="00D21359" w:rsidTr="00C06B17">
        <w:tc>
          <w:tcPr>
            <w:tcW w:w="2830" w:type="dxa"/>
          </w:tcPr>
          <w:p w:rsidR="00D21359" w:rsidRDefault="00D21359" w:rsidP="00C06B17">
            <w:pPr>
              <w:jc w:val="center"/>
              <w:rPr>
                <w:bCs/>
                <w:sz w:val="24"/>
                <w:szCs w:val="24"/>
              </w:rPr>
            </w:pPr>
          </w:p>
        </w:tc>
        <w:tc>
          <w:tcPr>
            <w:tcW w:w="3119" w:type="dxa"/>
          </w:tcPr>
          <w:p w:rsidR="00D21359" w:rsidRDefault="00D21359" w:rsidP="00C06B17">
            <w:pPr>
              <w:jc w:val="center"/>
              <w:rPr>
                <w:bCs/>
                <w:sz w:val="24"/>
                <w:szCs w:val="24"/>
              </w:rPr>
            </w:pPr>
            <w:r>
              <w:rPr>
                <w:bCs/>
                <w:sz w:val="24"/>
                <w:szCs w:val="24"/>
              </w:rPr>
              <w:t>Н</w:t>
            </w:r>
            <w:r w:rsidRPr="004A4054">
              <w:rPr>
                <w:bCs/>
                <w:sz w:val="24"/>
                <w:szCs w:val="24"/>
              </w:rPr>
              <w:t>аблюдател</w:t>
            </w:r>
            <w:r>
              <w:rPr>
                <w:bCs/>
                <w:sz w:val="24"/>
                <w:szCs w:val="24"/>
              </w:rPr>
              <w:t>и</w:t>
            </w:r>
          </w:p>
        </w:tc>
        <w:tc>
          <w:tcPr>
            <w:tcW w:w="3403" w:type="dxa"/>
          </w:tcPr>
          <w:p w:rsidR="00D21359" w:rsidRDefault="00D21359" w:rsidP="00C06B17">
            <w:pPr>
              <w:jc w:val="center"/>
              <w:rPr>
                <w:bCs/>
                <w:sz w:val="24"/>
                <w:szCs w:val="24"/>
              </w:rPr>
            </w:pPr>
            <w:r w:rsidRPr="004A4054">
              <w:rPr>
                <w:bCs/>
                <w:sz w:val="24"/>
                <w:szCs w:val="24"/>
              </w:rPr>
              <w:t>Уполномоченны</w:t>
            </w:r>
            <w:r>
              <w:rPr>
                <w:bCs/>
                <w:sz w:val="24"/>
                <w:szCs w:val="24"/>
              </w:rPr>
              <w:t>е представители</w:t>
            </w:r>
          </w:p>
        </w:tc>
      </w:tr>
      <w:tr w:rsidR="00D21359" w:rsidTr="00C06B17">
        <w:tc>
          <w:tcPr>
            <w:tcW w:w="2830" w:type="dxa"/>
          </w:tcPr>
          <w:p w:rsidR="00D21359" w:rsidRDefault="00D21359" w:rsidP="00C06B17">
            <w:pPr>
              <w:jc w:val="both"/>
              <w:rPr>
                <w:bCs/>
                <w:sz w:val="24"/>
                <w:szCs w:val="24"/>
              </w:rPr>
            </w:pPr>
            <w:r>
              <w:rPr>
                <w:bCs/>
                <w:sz w:val="24"/>
                <w:szCs w:val="24"/>
              </w:rPr>
              <w:t>Порядок назначения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Ограничения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Прекращение полномочий</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Полномочия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 xml:space="preserve">Высшее должностное лицо </w:t>
            </w:r>
            <w:r w:rsidRPr="00D86554">
              <w:rPr>
                <w:sz w:val="24"/>
                <w:szCs w:val="24"/>
              </w:rPr>
              <w:lastRenderedPageBreak/>
              <w:t>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267"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528"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7"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28"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21359" w:rsidRPr="00D21359"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5.4 Составить схему «Регистрация избирателей, участников референдума, составление списков избирателей» (в схеме отразить сроки регистрации избирателей, кем осуществляется регистрации, что является основанием для регистрации, что такое избирательный участок, какой критерий положен в основу образования избирательных участков)</w:t>
      </w:r>
    </w:p>
    <w:p w:rsidR="004E7FC3" w:rsidRPr="00D86554"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5.5 Составить схему «Способы выдвижения кандидатов (в схеме отразить способы и основания выдвижения кандидатов, требования к кандидатам, ограничения для кандидатов»</w:t>
      </w: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lastRenderedPageBreak/>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p w:rsidR="007F4BB0" w:rsidRPr="00D86554"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подготовки к зачету:</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предмет, методы, система избирательного права.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Источники избирательного права: понятие, виды.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 Гарантии избирательных прав граждан: понятие и значение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избирателей: понятие, права, гарантии.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кандидатов: права, гарантии, ограничения.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Предвыборная агитация: понятие, признаки, субъекты, методы.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lastRenderedPageBreak/>
        <w:t>Досрочное голосование, голосование вне избирательного участка, голосование по месту нахождения: понятие, порядок и условия проведения.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Порядок определения результатов выборов: сроки, правила.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Референдум Российской Федерации: понятие, принципы проведения, вопросы, выносимые на референдум Российской Федерации.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Что такое пассивное избирательное право?</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 В чем заключается принцип тайного голосования? Какие еще принципы участия российских граждан в выборах предусмотрены законодательством?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Обладает ли Шерина Ю.С. активным избирательным правом на этих выборах? В каких избирательных процедурах она вправе участвовать? Что такое активное избирательное право? Кому оно принадлежит?</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общественное движение «За честные выборы» выдвинуло кандидата Н. и список кандидатов, однако решением Избирательной комиссии Оренбургской области было отказало в регистрации кандидатов. Какие основания могли быть учтены при вынесении решения Избирательной комиссии Оренбургской области? В каких формах общественное движение «За честные выборы» может принять участие в предстоящих выборах? Какие избирательные объединения вправе принимать участие в избирательных компаниях? Какие требования к ним предъявляются?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помещении для голосования вправе присутствовать и наблюдать за ходом голосования: кандидаты; иностранные наблюдатели; представители СМИ; представители органов государственной власти и МСУ; наблюдатели от избирателей; избиратели. 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w:t>
      </w:r>
      <w:r w:rsidRPr="00D21359">
        <w:rPr>
          <w:rFonts w:ascii="Times New Roman" w:eastAsia="Times New Roman" w:hAnsi="Times New Roman" w:cs="Times New Roman"/>
          <w:sz w:val="24"/>
          <w:szCs w:val="24"/>
          <w:lang w:eastAsia="ru-RU"/>
        </w:rPr>
        <w:lastRenderedPageBreak/>
        <w:t>ограничения в статусе члена комиссии с правом совещательного голоса? Каков порядок формирования избирательных комиссий? Какие избирательные комиссии существуют в России?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Каков порядок включения избирателей в списки избирателей? В какие сроки граждане могут ознакомиться со списком избирателей? Как решается вопрос о невключении гражданина в список избирателей, о любой ошибке или неточности в сведениях о нем?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Надо ли предоставлять в избирательную комиссию сведения о принадлежащем ему имуществе, вкладах в банках и ценных бумагах?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Какие еще сведения и документы должен предоставить кандидат в избирательную комиссию для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Что такое предвыборная агитация? Каков порядок ее проведения? Какие ограничения при предвыборной агитации существуют? В чем заключается отличие предвыборной агитации от информирования избирателей и участников референдума?</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 xml:space="preserve">Самостоятельность </w:t>
            </w:r>
            <w:r w:rsidRPr="00EF542A">
              <w:rPr>
                <w:sz w:val="24"/>
                <w:szCs w:val="24"/>
              </w:rPr>
              <w:lastRenderedPageBreak/>
              <w:t>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 xml:space="preserve">арактер представления результатов </w:t>
            </w:r>
            <w:r w:rsidRPr="00B065CF">
              <w:rPr>
                <w:sz w:val="24"/>
                <w:szCs w:val="24"/>
              </w:rPr>
              <w:lastRenderedPageBreak/>
              <w:t>(нагляд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lastRenderedPageBreak/>
              <w:t xml:space="preserve">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w:t>
            </w:r>
            <w:r w:rsidRPr="00B065CF">
              <w:rPr>
                <w:sz w:val="24"/>
                <w:szCs w:val="24"/>
              </w:rPr>
              <w:lastRenderedPageBreak/>
              <w:t>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 xml:space="preserve">наличие в аргументированности в решении задания, использование ссылок на </w:t>
            </w:r>
            <w:r w:rsidRPr="00576248">
              <w:rPr>
                <w:sz w:val="24"/>
                <w:szCs w:val="24"/>
              </w:rPr>
              <w:lastRenderedPageBreak/>
              <w:t>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w:t>
            </w:r>
            <w:r w:rsidRPr="00576248">
              <w:rPr>
                <w:sz w:val="24"/>
                <w:szCs w:val="24"/>
              </w:rPr>
              <w:lastRenderedPageBreak/>
              <w:t>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sidR="00D21359">
        <w:rPr>
          <w:rFonts w:ascii="Times New Roman" w:eastAsia="Times New Roman" w:hAnsi="Times New Roman" w:cs="Times New Roman"/>
          <w:b/>
          <w:sz w:val="24"/>
          <w:szCs w:val="24"/>
        </w:rPr>
        <w:t>зачете</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D21359" w:rsidTr="00C06B1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Критерии</w:t>
            </w:r>
          </w:p>
        </w:tc>
      </w:tr>
      <w:tr w:rsidR="00D21359" w:rsidTr="00C06B17">
        <w:tc>
          <w:tcPr>
            <w:tcW w:w="3190" w:type="dxa"/>
          </w:tcPr>
          <w:p w:rsidR="00D21359" w:rsidRDefault="00D21359" w:rsidP="00C06B17">
            <w:pPr>
              <w:jc w:val="both"/>
              <w:rPr>
                <w:sz w:val="24"/>
                <w:szCs w:val="24"/>
              </w:rPr>
            </w:pPr>
            <w:r>
              <w:rPr>
                <w:sz w:val="24"/>
                <w:szCs w:val="24"/>
              </w:rPr>
              <w:t>Зачтено</w:t>
            </w:r>
          </w:p>
        </w:tc>
        <w:tc>
          <w:tcPr>
            <w:tcW w:w="3190" w:type="dxa"/>
            <w:vMerge w:val="restart"/>
          </w:tcPr>
          <w:p w:rsidR="00D21359" w:rsidRPr="00BF297E" w:rsidRDefault="00D21359" w:rsidP="00C06B17">
            <w:pPr>
              <w:jc w:val="both"/>
              <w:rPr>
                <w:sz w:val="24"/>
                <w:szCs w:val="24"/>
              </w:rPr>
            </w:pPr>
            <w:r>
              <w:rPr>
                <w:sz w:val="24"/>
                <w:szCs w:val="24"/>
              </w:rPr>
              <w:t xml:space="preserve">1. </w:t>
            </w:r>
            <w:r w:rsidRPr="00BF297E">
              <w:rPr>
                <w:sz w:val="24"/>
                <w:szCs w:val="24"/>
              </w:rPr>
              <w:t>Полнота выполнения тестовых заданий;</w:t>
            </w:r>
          </w:p>
          <w:p w:rsidR="00D21359" w:rsidRPr="00BF297E" w:rsidRDefault="00D21359" w:rsidP="00C06B17">
            <w:pPr>
              <w:jc w:val="both"/>
              <w:rPr>
                <w:sz w:val="24"/>
                <w:szCs w:val="24"/>
              </w:rPr>
            </w:pPr>
            <w:r w:rsidRPr="00BF297E">
              <w:rPr>
                <w:sz w:val="24"/>
                <w:szCs w:val="24"/>
              </w:rPr>
              <w:t>2.</w:t>
            </w:r>
            <w:r w:rsidRPr="00BF297E">
              <w:rPr>
                <w:sz w:val="24"/>
                <w:szCs w:val="24"/>
              </w:rPr>
              <w:tab/>
              <w:t>Своевременность выполнения;</w:t>
            </w:r>
          </w:p>
          <w:p w:rsidR="00D21359" w:rsidRPr="00BF297E" w:rsidRDefault="00D21359" w:rsidP="00C06B17">
            <w:pPr>
              <w:jc w:val="both"/>
              <w:rPr>
                <w:sz w:val="24"/>
                <w:szCs w:val="24"/>
              </w:rPr>
            </w:pPr>
            <w:r w:rsidRPr="00BF297E">
              <w:rPr>
                <w:sz w:val="24"/>
                <w:szCs w:val="24"/>
              </w:rPr>
              <w:t>3.</w:t>
            </w:r>
            <w:r w:rsidRPr="00BF297E">
              <w:rPr>
                <w:sz w:val="24"/>
                <w:szCs w:val="24"/>
              </w:rPr>
              <w:tab/>
              <w:t>Правильность ответов на вопросы;</w:t>
            </w:r>
          </w:p>
          <w:p w:rsidR="00D21359" w:rsidRDefault="00D21359" w:rsidP="00C06B1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D21359" w:rsidRDefault="00D21359" w:rsidP="00C06B1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D21359" w:rsidTr="00C06B17">
        <w:tc>
          <w:tcPr>
            <w:tcW w:w="3190" w:type="dxa"/>
          </w:tcPr>
          <w:p w:rsidR="00D21359" w:rsidRDefault="00D21359" w:rsidP="00C06B17">
            <w:pPr>
              <w:jc w:val="both"/>
              <w:rPr>
                <w:sz w:val="24"/>
                <w:szCs w:val="24"/>
              </w:rPr>
            </w:pPr>
            <w:r>
              <w:rPr>
                <w:sz w:val="24"/>
                <w:szCs w:val="24"/>
              </w:rPr>
              <w:t>Незачтено</w:t>
            </w:r>
          </w:p>
        </w:tc>
        <w:tc>
          <w:tcPr>
            <w:tcW w:w="3190" w:type="dxa"/>
            <w:vMerge/>
          </w:tcPr>
          <w:p w:rsidR="00D21359" w:rsidRDefault="00D21359" w:rsidP="00C06B17">
            <w:pPr>
              <w:jc w:val="both"/>
              <w:rPr>
                <w:sz w:val="24"/>
                <w:szCs w:val="24"/>
              </w:rPr>
            </w:pPr>
          </w:p>
        </w:tc>
        <w:tc>
          <w:tcPr>
            <w:tcW w:w="3191" w:type="dxa"/>
          </w:tcPr>
          <w:p w:rsidR="00D21359" w:rsidRDefault="00D21359" w:rsidP="00C06B1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lastRenderedPageBreak/>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 xml:space="preserve">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w:t>
      </w:r>
      <w:r w:rsidRPr="00210C05">
        <w:rPr>
          <w:rFonts w:ascii="Times New Roman" w:eastAsia="Times New Roman" w:hAnsi="Times New Roman" w:cs="Times New Roman"/>
          <w:sz w:val="24"/>
          <w:szCs w:val="24"/>
        </w:rPr>
        <w:lastRenderedPageBreak/>
        <w:t>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D21359" w:rsidRPr="00EE76AD" w:rsidRDefault="00D21359" w:rsidP="00D2135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E0D79"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w:t>
      </w:r>
      <w:r>
        <w:rPr>
          <w:rFonts w:ascii="Times New Roman" w:eastAsia="Times New Roman" w:hAnsi="Times New Roman" w:cs="Times New Roman"/>
          <w:sz w:val="24"/>
          <w:szCs w:val="24"/>
        </w:rPr>
        <w:t>, а также устно по билетам</w:t>
      </w:r>
      <w:r w:rsidRPr="002C1A96">
        <w:rPr>
          <w:rFonts w:ascii="Times New Roman" w:eastAsia="Times New Roman" w:hAnsi="Times New Roman" w:cs="Times New Roman"/>
          <w:sz w:val="24"/>
          <w:szCs w:val="24"/>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E0D79" w:rsidRDefault="00CE0D7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r w:rsidRPr="00CE0D79">
        <w:rPr>
          <w:rFonts w:ascii="Times New Roman" w:eastAsia="Times New Roman" w:hAnsi="Times New Roman" w:cs="Times New Roman"/>
          <w:sz w:val="24"/>
          <w:szCs w:val="24"/>
        </w:rPr>
        <w:t xml:space="preserve">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81" w:rsidRDefault="00213B81" w:rsidP="00A13401">
      <w:pPr>
        <w:spacing w:after="0" w:line="240" w:lineRule="auto"/>
      </w:pPr>
      <w:r>
        <w:separator/>
      </w:r>
    </w:p>
  </w:endnote>
  <w:endnote w:type="continuationSeparator" w:id="0">
    <w:p w:rsidR="00213B81" w:rsidRDefault="00213B8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F42FD9" w:rsidRPr="007F3AEB" w:rsidRDefault="00F42FD9">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D934D3">
          <w:rPr>
            <w:noProof/>
            <w:sz w:val="24"/>
            <w:szCs w:val="24"/>
          </w:rPr>
          <w:t>2</w:t>
        </w:r>
        <w:r w:rsidRPr="007F3AEB">
          <w:rPr>
            <w:sz w:val="24"/>
            <w:szCs w:val="24"/>
          </w:rPr>
          <w:fldChar w:fldCharType="end"/>
        </w:r>
      </w:p>
    </w:sdtContent>
  </w:sdt>
  <w:p w:rsidR="00F42FD9" w:rsidRDefault="00F42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81" w:rsidRDefault="00213B81" w:rsidP="00A13401">
      <w:pPr>
        <w:spacing w:after="0" w:line="240" w:lineRule="auto"/>
      </w:pPr>
      <w:r>
        <w:separator/>
      </w:r>
    </w:p>
  </w:footnote>
  <w:footnote w:type="continuationSeparator" w:id="0">
    <w:p w:rsidR="00213B81" w:rsidRDefault="00213B81"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3"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6"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91"/>
  </w:num>
  <w:num w:numId="4">
    <w:abstractNumId w:val="138"/>
  </w:num>
  <w:num w:numId="5">
    <w:abstractNumId w:val="112"/>
  </w:num>
  <w:num w:numId="6">
    <w:abstractNumId w:val="36"/>
  </w:num>
  <w:num w:numId="7">
    <w:abstractNumId w:val="80"/>
  </w:num>
  <w:num w:numId="8">
    <w:abstractNumId w:val="69"/>
  </w:num>
  <w:num w:numId="9">
    <w:abstractNumId w:val="19"/>
  </w:num>
  <w:num w:numId="10">
    <w:abstractNumId w:val="48"/>
  </w:num>
  <w:num w:numId="11">
    <w:abstractNumId w:val="154"/>
  </w:num>
  <w:num w:numId="12">
    <w:abstractNumId w:val="124"/>
  </w:num>
  <w:num w:numId="13">
    <w:abstractNumId w:val="93"/>
  </w:num>
  <w:num w:numId="14">
    <w:abstractNumId w:val="42"/>
  </w:num>
  <w:num w:numId="15">
    <w:abstractNumId w:val="31"/>
  </w:num>
  <w:num w:numId="16">
    <w:abstractNumId w:val="103"/>
  </w:num>
  <w:num w:numId="17">
    <w:abstractNumId w:val="206"/>
  </w:num>
  <w:num w:numId="18">
    <w:abstractNumId w:val="73"/>
  </w:num>
  <w:num w:numId="19">
    <w:abstractNumId w:val="152"/>
  </w:num>
  <w:num w:numId="20">
    <w:abstractNumId w:val="212"/>
  </w:num>
  <w:num w:numId="21">
    <w:abstractNumId w:val="39"/>
  </w:num>
  <w:num w:numId="22">
    <w:abstractNumId w:val="147"/>
  </w:num>
  <w:num w:numId="23">
    <w:abstractNumId w:val="170"/>
  </w:num>
  <w:num w:numId="24">
    <w:abstractNumId w:val="125"/>
  </w:num>
  <w:num w:numId="25">
    <w:abstractNumId w:val="122"/>
  </w:num>
  <w:num w:numId="26">
    <w:abstractNumId w:val="207"/>
  </w:num>
  <w:num w:numId="27">
    <w:abstractNumId w:val="96"/>
  </w:num>
  <w:num w:numId="28">
    <w:abstractNumId w:val="153"/>
  </w:num>
  <w:num w:numId="29">
    <w:abstractNumId w:val="133"/>
  </w:num>
  <w:num w:numId="30">
    <w:abstractNumId w:val="174"/>
  </w:num>
  <w:num w:numId="31">
    <w:abstractNumId w:val="151"/>
  </w:num>
  <w:num w:numId="32">
    <w:abstractNumId w:val="54"/>
  </w:num>
  <w:num w:numId="33">
    <w:abstractNumId w:val="116"/>
  </w:num>
  <w:num w:numId="34">
    <w:abstractNumId w:val="140"/>
  </w:num>
  <w:num w:numId="35">
    <w:abstractNumId w:val="121"/>
  </w:num>
  <w:num w:numId="36">
    <w:abstractNumId w:val="135"/>
  </w:num>
  <w:num w:numId="37">
    <w:abstractNumId w:val="51"/>
  </w:num>
  <w:num w:numId="38">
    <w:abstractNumId w:val="117"/>
  </w:num>
  <w:num w:numId="39">
    <w:abstractNumId w:val="193"/>
  </w:num>
  <w:num w:numId="40">
    <w:abstractNumId w:val="30"/>
  </w:num>
  <w:num w:numId="41">
    <w:abstractNumId w:val="129"/>
  </w:num>
  <w:num w:numId="42">
    <w:abstractNumId w:val="2"/>
  </w:num>
  <w:num w:numId="43">
    <w:abstractNumId w:val="8"/>
  </w:num>
  <w:num w:numId="44">
    <w:abstractNumId w:val="83"/>
  </w:num>
  <w:num w:numId="45">
    <w:abstractNumId w:val="202"/>
  </w:num>
  <w:num w:numId="46">
    <w:abstractNumId w:val="172"/>
  </w:num>
  <w:num w:numId="47">
    <w:abstractNumId w:val="22"/>
  </w:num>
  <w:num w:numId="48">
    <w:abstractNumId w:val="210"/>
  </w:num>
  <w:num w:numId="49">
    <w:abstractNumId w:val="178"/>
  </w:num>
  <w:num w:numId="50">
    <w:abstractNumId w:val="211"/>
  </w:num>
  <w:num w:numId="51">
    <w:abstractNumId w:val="142"/>
  </w:num>
  <w:num w:numId="52">
    <w:abstractNumId w:val="67"/>
  </w:num>
  <w:num w:numId="53">
    <w:abstractNumId w:val="40"/>
  </w:num>
  <w:num w:numId="54">
    <w:abstractNumId w:val="118"/>
  </w:num>
  <w:num w:numId="55">
    <w:abstractNumId w:val="44"/>
  </w:num>
  <w:num w:numId="56">
    <w:abstractNumId w:val="187"/>
  </w:num>
  <w:num w:numId="57">
    <w:abstractNumId w:val="179"/>
  </w:num>
  <w:num w:numId="58">
    <w:abstractNumId w:val="204"/>
  </w:num>
  <w:num w:numId="59">
    <w:abstractNumId w:val="188"/>
  </w:num>
  <w:num w:numId="60">
    <w:abstractNumId w:val="78"/>
  </w:num>
  <w:num w:numId="61">
    <w:abstractNumId w:val="160"/>
  </w:num>
  <w:num w:numId="62">
    <w:abstractNumId w:val="200"/>
  </w:num>
  <w:num w:numId="63">
    <w:abstractNumId w:val="57"/>
  </w:num>
  <w:num w:numId="64">
    <w:abstractNumId w:val="106"/>
  </w:num>
  <w:num w:numId="65">
    <w:abstractNumId w:val="165"/>
  </w:num>
  <w:num w:numId="66">
    <w:abstractNumId w:val="137"/>
  </w:num>
  <w:num w:numId="67">
    <w:abstractNumId w:val="43"/>
  </w:num>
  <w:num w:numId="68">
    <w:abstractNumId w:val="203"/>
  </w:num>
  <w:num w:numId="69">
    <w:abstractNumId w:val="208"/>
  </w:num>
  <w:num w:numId="70">
    <w:abstractNumId w:val="128"/>
  </w:num>
  <w:num w:numId="71">
    <w:abstractNumId w:val="9"/>
  </w:num>
  <w:num w:numId="72">
    <w:abstractNumId w:val="21"/>
  </w:num>
  <w:num w:numId="73">
    <w:abstractNumId w:val="114"/>
  </w:num>
  <w:num w:numId="74">
    <w:abstractNumId w:val="16"/>
  </w:num>
  <w:num w:numId="75">
    <w:abstractNumId w:val="143"/>
  </w:num>
  <w:num w:numId="76">
    <w:abstractNumId w:val="101"/>
  </w:num>
  <w:num w:numId="77">
    <w:abstractNumId w:val="173"/>
  </w:num>
  <w:num w:numId="78">
    <w:abstractNumId w:val="150"/>
  </w:num>
  <w:num w:numId="79">
    <w:abstractNumId w:val="149"/>
  </w:num>
  <w:num w:numId="80">
    <w:abstractNumId w:val="99"/>
  </w:num>
  <w:num w:numId="81">
    <w:abstractNumId w:val="144"/>
  </w:num>
  <w:num w:numId="82">
    <w:abstractNumId w:val="139"/>
  </w:num>
  <w:num w:numId="83">
    <w:abstractNumId w:val="3"/>
  </w:num>
  <w:num w:numId="84">
    <w:abstractNumId w:val="75"/>
  </w:num>
  <w:num w:numId="85">
    <w:abstractNumId w:val="45"/>
  </w:num>
  <w:num w:numId="86">
    <w:abstractNumId w:val="189"/>
  </w:num>
  <w:num w:numId="87">
    <w:abstractNumId w:val="197"/>
  </w:num>
  <w:num w:numId="88">
    <w:abstractNumId w:val="177"/>
  </w:num>
  <w:num w:numId="89">
    <w:abstractNumId w:val="33"/>
  </w:num>
  <w:num w:numId="90">
    <w:abstractNumId w:val="148"/>
  </w:num>
  <w:num w:numId="91">
    <w:abstractNumId w:val="17"/>
  </w:num>
  <w:num w:numId="92">
    <w:abstractNumId w:val="181"/>
  </w:num>
  <w:num w:numId="93">
    <w:abstractNumId w:val="55"/>
  </w:num>
  <w:num w:numId="94">
    <w:abstractNumId w:val="25"/>
  </w:num>
  <w:num w:numId="95">
    <w:abstractNumId w:val="127"/>
  </w:num>
  <w:num w:numId="96">
    <w:abstractNumId w:val="10"/>
  </w:num>
  <w:num w:numId="97">
    <w:abstractNumId w:val="18"/>
  </w:num>
  <w:num w:numId="98">
    <w:abstractNumId w:val="98"/>
  </w:num>
  <w:num w:numId="99">
    <w:abstractNumId w:val="23"/>
  </w:num>
  <w:num w:numId="100">
    <w:abstractNumId w:val="0"/>
  </w:num>
  <w:num w:numId="101">
    <w:abstractNumId w:val="102"/>
  </w:num>
  <w:num w:numId="102">
    <w:abstractNumId w:val="126"/>
  </w:num>
  <w:num w:numId="103">
    <w:abstractNumId w:val="201"/>
  </w:num>
  <w:num w:numId="104">
    <w:abstractNumId w:val="20"/>
  </w:num>
  <w:num w:numId="105">
    <w:abstractNumId w:val="131"/>
  </w:num>
  <w:num w:numId="106">
    <w:abstractNumId w:val="162"/>
  </w:num>
  <w:num w:numId="107">
    <w:abstractNumId w:val="115"/>
  </w:num>
  <w:num w:numId="108">
    <w:abstractNumId w:val="146"/>
  </w:num>
  <w:num w:numId="109">
    <w:abstractNumId w:val="161"/>
  </w:num>
  <w:num w:numId="110">
    <w:abstractNumId w:val="209"/>
  </w:num>
  <w:num w:numId="111">
    <w:abstractNumId w:val="81"/>
  </w:num>
  <w:num w:numId="112">
    <w:abstractNumId w:val="130"/>
  </w:num>
  <w:num w:numId="113">
    <w:abstractNumId w:val="1"/>
  </w:num>
  <w:num w:numId="114">
    <w:abstractNumId w:val="164"/>
  </w:num>
  <w:num w:numId="115">
    <w:abstractNumId w:val="41"/>
  </w:num>
  <w:num w:numId="116">
    <w:abstractNumId w:val="32"/>
  </w:num>
  <w:num w:numId="117">
    <w:abstractNumId w:val="156"/>
  </w:num>
  <w:num w:numId="118">
    <w:abstractNumId w:val="4"/>
  </w:num>
  <w:num w:numId="119">
    <w:abstractNumId w:val="64"/>
  </w:num>
  <w:num w:numId="120">
    <w:abstractNumId w:val="53"/>
  </w:num>
  <w:num w:numId="121">
    <w:abstractNumId w:val="29"/>
  </w:num>
  <w:num w:numId="122">
    <w:abstractNumId w:val="58"/>
  </w:num>
  <w:num w:numId="123">
    <w:abstractNumId w:val="185"/>
  </w:num>
  <w:num w:numId="124">
    <w:abstractNumId w:val="85"/>
  </w:num>
  <w:num w:numId="125">
    <w:abstractNumId w:val="192"/>
  </w:num>
  <w:num w:numId="126">
    <w:abstractNumId w:val="195"/>
  </w:num>
  <w:num w:numId="127">
    <w:abstractNumId w:val="113"/>
  </w:num>
  <w:num w:numId="128">
    <w:abstractNumId w:val="47"/>
  </w:num>
  <w:num w:numId="129">
    <w:abstractNumId w:val="28"/>
  </w:num>
  <w:num w:numId="130">
    <w:abstractNumId w:val="167"/>
  </w:num>
  <w:num w:numId="131">
    <w:abstractNumId w:val="5"/>
  </w:num>
  <w:num w:numId="132">
    <w:abstractNumId w:val="38"/>
  </w:num>
  <w:num w:numId="133">
    <w:abstractNumId w:val="120"/>
  </w:num>
  <w:num w:numId="134">
    <w:abstractNumId w:val="134"/>
  </w:num>
  <w:num w:numId="135">
    <w:abstractNumId w:val="89"/>
  </w:num>
  <w:num w:numId="136">
    <w:abstractNumId w:val="163"/>
  </w:num>
  <w:num w:numId="137">
    <w:abstractNumId w:val="76"/>
  </w:num>
  <w:num w:numId="138">
    <w:abstractNumId w:val="104"/>
  </w:num>
  <w:num w:numId="139">
    <w:abstractNumId w:val="107"/>
  </w:num>
  <w:num w:numId="140">
    <w:abstractNumId w:val="194"/>
  </w:num>
  <w:num w:numId="141">
    <w:abstractNumId w:val="46"/>
  </w:num>
  <w:num w:numId="142">
    <w:abstractNumId w:val="15"/>
  </w:num>
  <w:num w:numId="143">
    <w:abstractNumId w:val="132"/>
  </w:num>
  <w:num w:numId="144">
    <w:abstractNumId w:val="60"/>
  </w:num>
  <w:num w:numId="145">
    <w:abstractNumId w:val="27"/>
  </w:num>
  <w:num w:numId="146">
    <w:abstractNumId w:val="141"/>
  </w:num>
  <w:num w:numId="147">
    <w:abstractNumId w:val="77"/>
  </w:num>
  <w:num w:numId="148">
    <w:abstractNumId w:val="159"/>
  </w:num>
  <w:num w:numId="149">
    <w:abstractNumId w:val="11"/>
  </w:num>
  <w:num w:numId="150">
    <w:abstractNumId w:val="14"/>
  </w:num>
  <w:num w:numId="151">
    <w:abstractNumId w:val="37"/>
  </w:num>
  <w:num w:numId="152">
    <w:abstractNumId w:val="198"/>
  </w:num>
  <w:num w:numId="153">
    <w:abstractNumId w:val="171"/>
  </w:num>
  <w:num w:numId="154">
    <w:abstractNumId w:val="169"/>
  </w:num>
  <w:num w:numId="155">
    <w:abstractNumId w:val="105"/>
  </w:num>
  <w:num w:numId="156">
    <w:abstractNumId w:val="61"/>
  </w:num>
  <w:num w:numId="157">
    <w:abstractNumId w:val="157"/>
  </w:num>
  <w:num w:numId="158">
    <w:abstractNumId w:val="71"/>
  </w:num>
  <w:num w:numId="159">
    <w:abstractNumId w:val="13"/>
  </w:num>
  <w:num w:numId="160">
    <w:abstractNumId w:val="82"/>
  </w:num>
  <w:num w:numId="161">
    <w:abstractNumId w:val="91"/>
  </w:num>
  <w:num w:numId="162">
    <w:abstractNumId w:val="190"/>
  </w:num>
  <w:num w:numId="163">
    <w:abstractNumId w:val="110"/>
  </w:num>
  <w:num w:numId="164">
    <w:abstractNumId w:val="119"/>
  </w:num>
  <w:num w:numId="165">
    <w:abstractNumId w:val="62"/>
  </w:num>
  <w:num w:numId="166">
    <w:abstractNumId w:val="65"/>
  </w:num>
  <w:num w:numId="167">
    <w:abstractNumId w:val="87"/>
  </w:num>
  <w:num w:numId="168">
    <w:abstractNumId w:val="63"/>
  </w:num>
  <w:num w:numId="169">
    <w:abstractNumId w:val="176"/>
  </w:num>
  <w:num w:numId="170">
    <w:abstractNumId w:val="199"/>
  </w:num>
  <w:num w:numId="171">
    <w:abstractNumId w:val="108"/>
  </w:num>
  <w:num w:numId="172">
    <w:abstractNumId w:val="205"/>
  </w:num>
  <w:num w:numId="173">
    <w:abstractNumId w:val="79"/>
  </w:num>
  <w:num w:numId="174">
    <w:abstractNumId w:val="166"/>
  </w:num>
  <w:num w:numId="175">
    <w:abstractNumId w:val="50"/>
  </w:num>
  <w:num w:numId="176">
    <w:abstractNumId w:val="26"/>
  </w:num>
  <w:num w:numId="177">
    <w:abstractNumId w:val="92"/>
  </w:num>
  <w:num w:numId="178">
    <w:abstractNumId w:val="168"/>
  </w:num>
  <w:num w:numId="179">
    <w:abstractNumId w:val="184"/>
  </w:num>
  <w:num w:numId="180">
    <w:abstractNumId w:val="56"/>
  </w:num>
  <w:num w:numId="181">
    <w:abstractNumId w:val="6"/>
  </w:num>
  <w:num w:numId="182">
    <w:abstractNumId w:val="72"/>
  </w:num>
  <w:num w:numId="183">
    <w:abstractNumId w:val="12"/>
  </w:num>
  <w:num w:numId="184">
    <w:abstractNumId w:val="111"/>
  </w:num>
  <w:num w:numId="185">
    <w:abstractNumId w:val="7"/>
  </w:num>
  <w:num w:numId="186">
    <w:abstractNumId w:val="196"/>
  </w:num>
  <w:num w:numId="187">
    <w:abstractNumId w:val="155"/>
  </w:num>
  <w:num w:numId="188">
    <w:abstractNumId w:val="66"/>
  </w:num>
  <w:num w:numId="189">
    <w:abstractNumId w:val="59"/>
  </w:num>
  <w:num w:numId="190">
    <w:abstractNumId w:val="180"/>
  </w:num>
  <w:num w:numId="191">
    <w:abstractNumId w:val="158"/>
  </w:num>
  <w:num w:numId="192">
    <w:abstractNumId w:val="109"/>
  </w:num>
  <w:num w:numId="193">
    <w:abstractNumId w:val="34"/>
  </w:num>
  <w:num w:numId="194">
    <w:abstractNumId w:val="84"/>
  </w:num>
  <w:num w:numId="195">
    <w:abstractNumId w:val="123"/>
  </w:num>
  <w:num w:numId="196">
    <w:abstractNumId w:val="186"/>
  </w:num>
  <w:num w:numId="197">
    <w:abstractNumId w:val="97"/>
  </w:num>
  <w:num w:numId="198">
    <w:abstractNumId w:val="136"/>
  </w:num>
  <w:num w:numId="199">
    <w:abstractNumId w:val="183"/>
  </w:num>
  <w:num w:numId="200">
    <w:abstractNumId w:val="175"/>
  </w:num>
  <w:num w:numId="201">
    <w:abstractNumId w:val="68"/>
  </w:num>
  <w:num w:numId="202">
    <w:abstractNumId w:val="35"/>
  </w:num>
  <w:num w:numId="203">
    <w:abstractNumId w:val="74"/>
  </w:num>
  <w:num w:numId="204">
    <w:abstractNumId w:val="24"/>
  </w:num>
  <w:num w:numId="205">
    <w:abstractNumId w:val="100"/>
  </w:num>
  <w:num w:numId="206">
    <w:abstractNumId w:val="94"/>
  </w:num>
  <w:num w:numId="207">
    <w:abstractNumId w:val="70"/>
  </w:num>
  <w:num w:numId="208">
    <w:abstractNumId w:val="95"/>
  </w:num>
  <w:num w:numId="209">
    <w:abstractNumId w:val="49"/>
  </w:num>
  <w:num w:numId="210">
    <w:abstractNumId w:val="88"/>
  </w:num>
  <w:num w:numId="211">
    <w:abstractNumId w:val="52"/>
  </w:num>
  <w:num w:numId="212">
    <w:abstractNumId w:val="86"/>
  </w:num>
  <w:num w:numId="213">
    <w:abstractNumId w:val="9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81"/>
    <w:rsid w:val="00213BEE"/>
    <w:rsid w:val="0025570B"/>
    <w:rsid w:val="002831A2"/>
    <w:rsid w:val="0029767D"/>
    <w:rsid w:val="002D16C1"/>
    <w:rsid w:val="002D51A9"/>
    <w:rsid w:val="002E01CF"/>
    <w:rsid w:val="002F52D8"/>
    <w:rsid w:val="00313C2F"/>
    <w:rsid w:val="0033305E"/>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3371"/>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97612"/>
    <w:rsid w:val="007A0598"/>
    <w:rsid w:val="007B7622"/>
    <w:rsid w:val="007C1AD5"/>
    <w:rsid w:val="007F3AEB"/>
    <w:rsid w:val="007F4BB0"/>
    <w:rsid w:val="008063D3"/>
    <w:rsid w:val="00813FD5"/>
    <w:rsid w:val="00827B42"/>
    <w:rsid w:val="00872001"/>
    <w:rsid w:val="00873DDB"/>
    <w:rsid w:val="008A2A56"/>
    <w:rsid w:val="008B04F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D648A"/>
    <w:rsid w:val="00CE0D79"/>
    <w:rsid w:val="00CE14DC"/>
    <w:rsid w:val="00CE7A0C"/>
    <w:rsid w:val="00D070AD"/>
    <w:rsid w:val="00D21359"/>
    <w:rsid w:val="00D46C5E"/>
    <w:rsid w:val="00D47606"/>
    <w:rsid w:val="00D54CE9"/>
    <w:rsid w:val="00D61CB1"/>
    <w:rsid w:val="00D750DB"/>
    <w:rsid w:val="00D8393A"/>
    <w:rsid w:val="00D86554"/>
    <w:rsid w:val="00D934D3"/>
    <w:rsid w:val="00DB4F07"/>
    <w:rsid w:val="00DC18A9"/>
    <w:rsid w:val="00DD7270"/>
    <w:rsid w:val="00DF3F31"/>
    <w:rsid w:val="00E20936"/>
    <w:rsid w:val="00E34A69"/>
    <w:rsid w:val="00E3717D"/>
    <w:rsid w:val="00E82663"/>
    <w:rsid w:val="00E96129"/>
    <w:rsid w:val="00EA2F0D"/>
    <w:rsid w:val="00EB50C2"/>
    <w:rsid w:val="00EE524D"/>
    <w:rsid w:val="00F42FD9"/>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71"/>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FEF9-FB4E-431D-A245-25F917B3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21845</Words>
  <Characters>124517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2019-10-30T06:12:00Z</cp:lastPrinted>
  <dcterms:created xsi:type="dcterms:W3CDTF">2022-03-26T06:09:00Z</dcterms:created>
  <dcterms:modified xsi:type="dcterms:W3CDTF">2022-03-26T06:09:00Z</dcterms:modified>
</cp:coreProperties>
</file>