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1" w:rsidRPr="001A4297" w:rsidRDefault="00DD6551" w:rsidP="00DD655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C241B1">
        <w:rPr>
          <w:rFonts w:ascii="Times New Roman" w:hAnsi="Times New Roman" w:cs="Times New Roman"/>
          <w:sz w:val="28"/>
          <w:szCs w:val="28"/>
        </w:rPr>
        <w:t>Общепрофессиональных и технических дисциплин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C241B1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C241B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2021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Материаловедение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C241B1">
        <w:rPr>
          <w:rFonts w:ascii="Times New Roman" w:hAnsi="Times New Roman"/>
          <w:sz w:val="28"/>
          <w:szCs w:val="28"/>
        </w:rPr>
        <w:t>О.С. Манакова</w:t>
      </w:r>
      <w:r w:rsidR="009A3C30" w:rsidRPr="009A3C30">
        <w:rPr>
          <w:rFonts w:ascii="Times New Roman" w:hAnsi="Times New Roman"/>
          <w:sz w:val="28"/>
          <w:szCs w:val="28"/>
        </w:rPr>
        <w:t>; Бузулукский гуманитарно-технолог. ин-т (</w:t>
      </w:r>
      <w:bookmarkStart w:id="1" w:name="_GoBack"/>
      <w:bookmarkEnd w:id="1"/>
      <w:r w:rsidR="00430F58" w:rsidRPr="009A3C30">
        <w:rPr>
          <w:rFonts w:ascii="Times New Roman" w:hAnsi="Times New Roman"/>
          <w:sz w:val="28"/>
          <w:szCs w:val="28"/>
        </w:rPr>
        <w:t>филиал) ОГУ</w:t>
      </w:r>
      <w:r w:rsidR="009A3C30">
        <w:rPr>
          <w:rFonts w:ascii="Times New Roman" w:hAnsi="Times New Roman"/>
          <w:sz w:val="28"/>
          <w:szCs w:val="28"/>
        </w:rPr>
        <w:t>. – Бузулук</w:t>
      </w:r>
      <w:r w:rsidR="00C241B1">
        <w:rPr>
          <w:rFonts w:ascii="Times New Roman" w:hAnsi="Times New Roman"/>
          <w:sz w:val="28"/>
          <w:szCs w:val="28"/>
        </w:rPr>
        <w:t>: БГТИ (филиал) ОГУ, 2021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C241B1">
        <w:rPr>
          <w:rFonts w:ascii="Times New Roman" w:eastAsia="Times New Roman" w:hAnsi="Times New Roman"/>
          <w:sz w:val="28"/>
          <w:szCs w:val="28"/>
        </w:rPr>
        <w:t>О.С. Манакова</w:t>
      </w:r>
    </w:p>
    <w:p w:rsidR="009A3C30" w:rsidRPr="009A3C30" w:rsidRDefault="00C241B1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B1" w:rsidRDefault="00C241B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</w:t>
      </w:r>
      <w:r w:rsidR="00FF0D82">
        <w:rPr>
          <w:sz w:val="28"/>
        </w:rPr>
        <w:t>нологических машин и комплексов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>- установить зависимость между составом, строением и основными</w:t>
      </w:r>
      <w:r w:rsidR="00FF0D82">
        <w:rPr>
          <w:sz w:val="28"/>
        </w:rPr>
        <w:t xml:space="preserve"> свойствами материалов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FF0D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FF0D8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FF0D8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FF0D8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FF0D8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FF0D8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FF0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FF0D82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</w:t>
      </w:r>
      <w:r w:rsidRPr="0088108C">
        <w:rPr>
          <w:szCs w:val="24"/>
        </w:rPr>
        <w:lastRenderedPageBreak/>
        <w:t>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>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%) и относительное остаточное сужение   площади   поперечного   сечения   </w:t>
      </w:r>
      <w:r w:rsidR="00FF0D82" w:rsidRPr="00D33941">
        <w:rPr>
          <w:sz w:val="28"/>
          <w:szCs w:val="28"/>
        </w:rPr>
        <w:t>образца (</w:t>
      </w:r>
      <w:r w:rsidRPr="00D33941">
        <w:rPr>
          <w:sz w:val="28"/>
          <w:szCs w:val="28"/>
        </w:rPr>
        <w:t>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FF0D82" w:rsidP="00FF0D82">
      <w:pPr>
        <w:pStyle w:val="a5"/>
        <w:widowControl w:val="0"/>
        <w:numPr>
          <w:ilvl w:val="0"/>
          <w:numId w:val="43"/>
        </w:numPr>
        <w:tabs>
          <w:tab w:val="left" w:pos="426"/>
          <w:tab w:val="left" w:pos="571"/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33941" w:rsidRPr="00D33941">
        <w:rPr>
          <w:rFonts w:cs="Times New Roman"/>
          <w:szCs w:val="28"/>
        </w:rPr>
        <w:t>Жидкий раствор (Ж) и кристаллы аустенита</w:t>
      </w:r>
      <w:r w:rsidR="00D33941" w:rsidRPr="00D33941">
        <w:rPr>
          <w:rFonts w:cs="Times New Roman"/>
          <w:spacing w:val="-4"/>
          <w:szCs w:val="28"/>
        </w:rPr>
        <w:t xml:space="preserve"> </w:t>
      </w:r>
      <w:r w:rsidR="00D33941" w:rsidRPr="00D33941">
        <w:rPr>
          <w:rFonts w:cs="Times New Roman"/>
          <w:szCs w:val="28"/>
        </w:rPr>
        <w:t>(А).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43"/>
        </w:numPr>
        <w:tabs>
          <w:tab w:val="left" w:pos="664"/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FF0D82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42"/>
        </w:numPr>
        <w:tabs>
          <w:tab w:val="left" w:pos="585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FF0D82" w:rsidP="00FF0D82">
      <w:pPr>
        <w:pStyle w:val="a5"/>
        <w:widowControl w:val="0"/>
        <w:numPr>
          <w:ilvl w:val="0"/>
          <w:numId w:val="42"/>
        </w:numPr>
        <w:tabs>
          <w:tab w:val="left" w:pos="679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33941" w:rsidRPr="00D33941">
        <w:rPr>
          <w:rFonts w:cs="Times New Roman"/>
          <w:szCs w:val="28"/>
        </w:rPr>
        <w:t>Кристаллы аустенита (А), ледебурита (Л) и цементита вторичного (Ц</w:t>
      </w:r>
      <w:r w:rsidR="00D33941" w:rsidRPr="00D33941">
        <w:rPr>
          <w:rFonts w:cs="Times New Roman"/>
          <w:szCs w:val="28"/>
          <w:vertAlign w:val="subscript"/>
        </w:rPr>
        <w:t>II</w:t>
      </w:r>
      <w:r w:rsidR="00D33941" w:rsidRPr="00D33941">
        <w:rPr>
          <w:rFonts w:cs="Times New Roman"/>
          <w:szCs w:val="28"/>
        </w:rPr>
        <w:t>). XII – Кристаллы перлита (П), цементита вторичного (Ц</w:t>
      </w:r>
      <w:r w:rsidR="00D33941" w:rsidRPr="00D33941">
        <w:rPr>
          <w:rFonts w:cs="Times New Roman"/>
          <w:szCs w:val="28"/>
          <w:vertAlign w:val="subscript"/>
        </w:rPr>
        <w:t>II</w:t>
      </w:r>
      <w:r w:rsidR="00D33941"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FF0D82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594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735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735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735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735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0"/>
        </w:numPr>
        <w:tabs>
          <w:tab w:val="left" w:pos="735"/>
          <w:tab w:val="left" w:pos="113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B51834">
      <w:pPr>
        <w:tabs>
          <w:tab w:val="left" w:pos="735"/>
          <w:tab w:val="left" w:pos="1134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B51834">
      <w:pPr>
        <w:tabs>
          <w:tab w:val="left" w:pos="735"/>
          <w:tab w:val="left" w:pos="1134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39"/>
        </w:numPr>
        <w:tabs>
          <w:tab w:val="left" w:pos="735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B51834">
      <w:pPr>
        <w:pStyle w:val="a5"/>
        <w:widowControl w:val="0"/>
        <w:numPr>
          <w:ilvl w:val="0"/>
          <w:numId w:val="39"/>
        </w:numPr>
        <w:tabs>
          <w:tab w:val="left" w:pos="735"/>
          <w:tab w:val="left" w:pos="1134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="00B51834" w:rsidRPr="00D33941">
        <w:rPr>
          <w:spacing w:val="2"/>
          <w:sz w:val="28"/>
          <w:szCs w:val="28"/>
        </w:rPr>
        <w:t>С</w:t>
      </w:r>
      <w:r w:rsidR="00B51834" w:rsidRPr="00D33941">
        <w:rPr>
          <w:spacing w:val="2"/>
          <w:sz w:val="28"/>
          <w:szCs w:val="28"/>
          <w:vertAlign w:val="subscript"/>
        </w:rPr>
        <w:t>о</w:t>
      </w:r>
      <w:r w:rsidR="00B51834" w:rsidRPr="00D33941">
        <w:rPr>
          <w:spacing w:val="2"/>
          <w:sz w:val="28"/>
          <w:szCs w:val="28"/>
        </w:rPr>
        <w:t>, уменьшают</w:t>
      </w:r>
      <w:r w:rsidRPr="00D33941">
        <w:rPr>
          <w:sz w:val="28"/>
          <w:szCs w:val="28"/>
        </w:rPr>
        <w:t xml:space="preserve">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</w:t>
      </w:r>
      <w:r w:rsidR="00B51834" w:rsidRPr="00D33941">
        <w:rPr>
          <w:sz w:val="28"/>
          <w:szCs w:val="28"/>
        </w:rPr>
        <w:t>например,</w:t>
      </w:r>
      <w:r w:rsidRPr="00D33941">
        <w:rPr>
          <w:sz w:val="28"/>
          <w:szCs w:val="28"/>
        </w:rPr>
        <w:t xml:space="preserve">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</w:t>
      </w:r>
      <w:r w:rsidR="00B51834">
        <w:rPr>
          <w:spacing w:val="-3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B51834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B51834">
      <w:pPr>
        <w:pStyle w:val="a5"/>
        <w:widowControl w:val="0"/>
        <w:numPr>
          <w:ilvl w:val="1"/>
          <w:numId w:val="45"/>
        </w:numPr>
        <w:tabs>
          <w:tab w:val="left" w:pos="1134"/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B51834">
      <w:pPr>
        <w:pStyle w:val="a5"/>
        <w:widowControl w:val="0"/>
        <w:numPr>
          <w:ilvl w:val="1"/>
          <w:numId w:val="45"/>
        </w:numPr>
        <w:tabs>
          <w:tab w:val="left" w:pos="1134"/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B51834">
      <w:pPr>
        <w:pStyle w:val="a5"/>
        <w:widowControl w:val="0"/>
        <w:numPr>
          <w:ilvl w:val="1"/>
          <w:numId w:val="45"/>
        </w:numPr>
        <w:tabs>
          <w:tab w:val="left" w:pos="1134"/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B51834">
      <w:pPr>
        <w:pStyle w:val="a5"/>
        <w:widowControl w:val="0"/>
        <w:numPr>
          <w:ilvl w:val="1"/>
          <w:numId w:val="45"/>
        </w:numPr>
        <w:tabs>
          <w:tab w:val="left" w:pos="1134"/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B51834">
      <w:pPr>
        <w:pStyle w:val="a5"/>
        <w:widowControl w:val="0"/>
        <w:numPr>
          <w:ilvl w:val="1"/>
          <w:numId w:val="45"/>
        </w:numPr>
        <w:tabs>
          <w:tab w:val="left" w:pos="1134"/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B51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B51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="00B51834">
        <w:rPr>
          <w:sz w:val="28"/>
          <w:szCs w:val="28"/>
        </w:rPr>
        <w:t xml:space="preserve"> ˃</w:t>
      </w:r>
      <w:r w:rsidRPr="00D33941">
        <w:rPr>
          <w:sz w:val="28"/>
          <w:szCs w:val="28"/>
        </w:rPr>
        <w:t xml:space="preserve">  V</w:t>
      </w:r>
      <w:r w:rsidRPr="00D33941">
        <w:rPr>
          <w:sz w:val="28"/>
          <w:szCs w:val="28"/>
          <w:vertAlign w:val="subscript"/>
        </w:rPr>
        <w:t>2</w:t>
      </w:r>
      <w:r w:rsidR="00B51834">
        <w:rPr>
          <w:sz w:val="28"/>
          <w:szCs w:val="28"/>
        </w:rPr>
        <w:t xml:space="preserve">  ˃</w:t>
      </w:r>
      <w:r w:rsidRPr="00D33941">
        <w:rPr>
          <w:sz w:val="28"/>
          <w:szCs w:val="28"/>
        </w:rPr>
        <w:t xml:space="preserve">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мартенситном бездиффузионном превращении происходит перестройка кубической гранецентрированной решетки аустенита в кубическую о</w:t>
      </w:r>
      <w:r w:rsidR="00C241B1">
        <w:rPr>
          <w:sz w:val="28"/>
          <w:szCs w:val="28"/>
        </w:rPr>
        <w:t xml:space="preserve">бъемноцентрированную </w:t>
      </w:r>
      <w:r w:rsidR="00B51834">
        <w:rPr>
          <w:sz w:val="28"/>
          <w:szCs w:val="28"/>
        </w:rPr>
        <w:t xml:space="preserve">решетку </w:t>
      </w:r>
      <w:r w:rsidR="00B51834" w:rsidRPr="00D33941">
        <w:rPr>
          <w:sz w:val="28"/>
          <w:szCs w:val="28"/>
        </w:rPr>
        <w:t>железа</w:t>
      </w:r>
      <w:r w:rsidRPr="00D33941">
        <w:rPr>
          <w:sz w:val="28"/>
          <w:szCs w:val="28"/>
        </w:rPr>
        <w:t xml:space="preserve"> при сохранении концентрации углерода исходной структуры.</w:t>
      </w:r>
    </w:p>
    <w:p w:rsidR="00D33941" w:rsidRPr="00D33941" w:rsidRDefault="00C241B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>железа</w:t>
      </w:r>
      <w:r w:rsidR="00D33941" w:rsidRPr="00D33941">
        <w:rPr>
          <w:sz w:val="28"/>
          <w:szCs w:val="28"/>
        </w:rPr>
        <w:t xml:space="preserve"> способна разместить ограниченное количество углерода - не более 0,02 </w:t>
      </w:r>
      <w:r w:rsidRPr="00D33941">
        <w:rPr>
          <w:sz w:val="28"/>
          <w:szCs w:val="28"/>
        </w:rPr>
        <w:t>%.</w:t>
      </w:r>
      <w:r w:rsidR="00D33941" w:rsidRPr="00D33941">
        <w:rPr>
          <w:sz w:val="28"/>
          <w:szCs w:val="28"/>
        </w:rPr>
        <w:t xml:space="preserve"> Поэтому избыточное количество углерода исходного аустенита (max-2,14</w:t>
      </w:r>
      <w:r w:rsidRPr="00D33941">
        <w:rPr>
          <w:sz w:val="28"/>
          <w:szCs w:val="28"/>
        </w:rPr>
        <w:t>%) искажает кубическую</w:t>
      </w:r>
      <w:r w:rsidR="00D33941" w:rsidRPr="00D3394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бъемноцентрированную решетку </w:t>
      </w:r>
      <w:r w:rsidRPr="00D33941">
        <w:rPr>
          <w:sz w:val="28"/>
          <w:szCs w:val="28"/>
        </w:rPr>
        <w:t>железа</w:t>
      </w:r>
      <w:r w:rsidR="00D33941" w:rsidRPr="00D33941">
        <w:rPr>
          <w:sz w:val="28"/>
          <w:szCs w:val="28"/>
        </w:rPr>
        <w:t xml:space="preserve">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="00C241B1">
        <w:rPr>
          <w:sz w:val="28"/>
          <w:szCs w:val="28"/>
        </w:rPr>
        <w:t xml:space="preserve"> ˃</w:t>
      </w:r>
      <w:r w:rsidRPr="00D33941">
        <w:rPr>
          <w:sz w:val="28"/>
          <w:szCs w:val="28"/>
        </w:rPr>
        <w:t xml:space="preserve">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Высокая твердость мартенсита определяется количеством растворенного углерода: с увеличением кон</w:t>
      </w:r>
      <w:r w:rsidR="00B51834">
        <w:rPr>
          <w:sz w:val="28"/>
          <w:szCs w:val="28"/>
        </w:rPr>
        <w:t xml:space="preserve">центрации углерода в решетке </w:t>
      </w:r>
      <w:r w:rsidR="00B51834" w:rsidRPr="00D33941">
        <w:rPr>
          <w:sz w:val="28"/>
          <w:szCs w:val="28"/>
        </w:rPr>
        <w:t>железа</w:t>
      </w:r>
      <w:r w:rsidRPr="00D33941">
        <w:rPr>
          <w:sz w:val="28"/>
          <w:szCs w:val="28"/>
        </w:rPr>
        <w:t xml:space="preserve">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</w:t>
      </w:r>
      <w:r w:rsidR="00B51834" w:rsidRPr="00D33941">
        <w:rPr>
          <w:sz w:val="28"/>
          <w:szCs w:val="28"/>
        </w:rPr>
        <w:t>и последующем</w:t>
      </w:r>
      <w:r w:rsidRPr="00D33941">
        <w:rPr>
          <w:sz w:val="28"/>
          <w:szCs w:val="28"/>
        </w:rPr>
        <w:t xml:space="preserve">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образовании </w:t>
      </w:r>
      <w:r w:rsidR="00B51834" w:rsidRPr="00D33941">
        <w:rPr>
          <w:sz w:val="28"/>
          <w:szCs w:val="28"/>
        </w:rPr>
        <w:t>в</w:t>
      </w:r>
      <w:r w:rsidR="00B51834">
        <w:rPr>
          <w:sz w:val="28"/>
          <w:szCs w:val="28"/>
        </w:rPr>
        <w:t xml:space="preserve"> </w:t>
      </w:r>
      <w:r w:rsidR="00B51834" w:rsidRPr="00D33941">
        <w:rPr>
          <w:sz w:val="28"/>
          <w:szCs w:val="28"/>
        </w:rPr>
        <w:t>стали</w:t>
      </w:r>
      <w:r w:rsidRPr="00D33941">
        <w:rPr>
          <w:sz w:val="28"/>
          <w:szCs w:val="28"/>
        </w:rPr>
        <w:t xml:space="preserve">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называется вид термической </w:t>
      </w:r>
      <w:r w:rsidR="00C241B1" w:rsidRPr="00D33941">
        <w:rPr>
          <w:sz w:val="28"/>
          <w:szCs w:val="28"/>
        </w:rPr>
        <w:t>обработки, заключающийся в</w:t>
      </w:r>
      <w:r w:rsidRPr="00D33941">
        <w:rPr>
          <w:sz w:val="28"/>
          <w:szCs w:val="28"/>
        </w:rPr>
        <w:t xml:space="preserve">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</w:t>
      </w:r>
      <w:r w:rsidR="00B51834">
        <w:rPr>
          <w:sz w:val="28"/>
          <w:szCs w:val="28"/>
        </w:rPr>
        <w:t>азом, в электротехнике как про</w:t>
      </w:r>
      <w:r w:rsidRPr="00D33941">
        <w:rPr>
          <w:sz w:val="28"/>
          <w:szCs w:val="28"/>
        </w:rPr>
        <w:t>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="00B51834" w:rsidRPr="00D33941">
        <w:rPr>
          <w:color w:val="434343"/>
          <w:sz w:val="28"/>
          <w:szCs w:val="28"/>
        </w:rPr>
        <w:t>σ</w:t>
      </w:r>
      <w:r w:rsidR="00B51834">
        <w:rPr>
          <w:position w:val="-3"/>
          <w:sz w:val="28"/>
          <w:szCs w:val="28"/>
        </w:rPr>
        <w:t>т</w:t>
      </w:r>
      <w:r w:rsidRPr="00D33941">
        <w:rPr>
          <w:sz w:val="28"/>
          <w:szCs w:val="28"/>
        </w:rPr>
        <w:t xml:space="preserve">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</w:t>
      </w:r>
      <w:r w:rsidR="00B51834">
        <w:rPr>
          <w:sz w:val="28"/>
          <w:szCs w:val="28"/>
        </w:rPr>
        <w:t>ых и токопроводящих изделий, а также</w:t>
      </w:r>
      <w:r w:rsidRPr="00D33941">
        <w:rPr>
          <w:sz w:val="28"/>
          <w:szCs w:val="28"/>
        </w:rPr>
        <w:t xml:space="preserve">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</w:t>
      </w:r>
      <w:r w:rsidR="00B51834">
        <w:rPr>
          <w:sz w:val="28"/>
          <w:szCs w:val="28"/>
        </w:rPr>
        <w:t>ав дуралюмина марки Д1: 4,5% Сu; 0,6% Мо; 0,65% Мn; 1,0% Fе</w:t>
      </w:r>
      <w:r w:rsidRPr="00D33941">
        <w:rPr>
          <w:sz w:val="28"/>
          <w:szCs w:val="28"/>
        </w:rPr>
        <w:t>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="00B51834">
        <w:rPr>
          <w:position w:val="-3"/>
          <w:sz w:val="28"/>
          <w:szCs w:val="28"/>
        </w:rPr>
        <w:t>пц</w:t>
      </w:r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500 н/</w:t>
      </w:r>
      <w:r w:rsidR="00C241B1" w:rsidRPr="00D33941">
        <w:rPr>
          <w:sz w:val="28"/>
          <w:szCs w:val="28"/>
        </w:rPr>
        <w:t>мм;</w:t>
      </w:r>
      <w:r w:rsidRPr="00D33941">
        <w:rPr>
          <w:sz w:val="28"/>
          <w:szCs w:val="28"/>
        </w:rPr>
        <w:t xml:space="preserve"> </w:t>
      </w:r>
      <w:r w:rsidR="00C241B1" w:rsidRPr="00D33941">
        <w:rPr>
          <w:color w:val="434343"/>
          <w:sz w:val="28"/>
          <w:szCs w:val="28"/>
        </w:rPr>
        <w:t>σ</w:t>
      </w:r>
      <w:r w:rsidR="00B51834">
        <w:rPr>
          <w:position w:val="-3"/>
          <w:sz w:val="28"/>
          <w:szCs w:val="28"/>
        </w:rPr>
        <w:t>т</w:t>
      </w:r>
      <w:r w:rsidR="00B51834">
        <w:rPr>
          <w:sz w:val="28"/>
          <w:szCs w:val="28"/>
        </w:rPr>
        <w:t xml:space="preserve"> </w:t>
      </w:r>
      <w:r w:rsidR="00B51834" w:rsidRPr="00D33941">
        <w:rPr>
          <w:sz w:val="28"/>
          <w:szCs w:val="28"/>
        </w:rPr>
        <w:t>=</w:t>
      </w:r>
      <w:r w:rsidRPr="00D33941">
        <w:rPr>
          <w:sz w:val="28"/>
          <w:szCs w:val="28"/>
        </w:rPr>
        <w:t xml:space="preserve"> 20%; НВ =180. Это </w:t>
      </w:r>
      <w:r w:rsidR="00C241B1">
        <w:rPr>
          <w:sz w:val="28"/>
          <w:szCs w:val="28"/>
        </w:rPr>
        <w:t>приближает его</w:t>
      </w:r>
      <w:r w:rsidRPr="00D33941">
        <w:rPr>
          <w:sz w:val="28"/>
          <w:szCs w:val="28"/>
        </w:rPr>
        <w:t xml:space="preserve">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</w:t>
      </w:r>
      <w:r w:rsidR="00B51834" w:rsidRPr="00D33941">
        <w:rPr>
          <w:sz w:val="28"/>
          <w:szCs w:val="28"/>
        </w:rPr>
        <w:t>мм;</w:t>
      </w:r>
      <w:r w:rsidRPr="00D33941">
        <w:rPr>
          <w:sz w:val="28"/>
          <w:szCs w:val="28"/>
        </w:rPr>
        <w:t xml:space="preserve">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Рассмотреть микрошлифы под </w:t>
      </w:r>
      <w:r w:rsidR="00C241B1" w:rsidRPr="00D33941">
        <w:rPr>
          <w:rFonts w:cs="Times New Roman"/>
          <w:szCs w:val="28"/>
        </w:rPr>
        <w:t>микроскопом,</w:t>
      </w:r>
      <w:r w:rsidRPr="00D33941">
        <w:rPr>
          <w:rFonts w:cs="Times New Roman"/>
          <w:szCs w:val="28"/>
        </w:rPr>
        <w:t xml:space="preserve">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</w:t>
      </w:r>
      <w:r w:rsidR="00C241B1" w:rsidRPr="00D33941">
        <w:rPr>
          <w:rFonts w:cs="Times New Roman"/>
          <w:spacing w:val="5"/>
          <w:szCs w:val="28"/>
        </w:rPr>
        <w:t>металлов. и</w:t>
      </w:r>
      <w:r w:rsidRPr="00D33941">
        <w:rPr>
          <w:rFonts w:cs="Times New Roman"/>
          <w:spacing w:val="3"/>
          <w:szCs w:val="28"/>
        </w:rPr>
        <w:t xml:space="preserve"> </w:t>
      </w:r>
      <w:r w:rsidR="00C241B1" w:rsidRPr="00D33941">
        <w:rPr>
          <w:rFonts w:cs="Times New Roman"/>
          <w:spacing w:val="4"/>
          <w:szCs w:val="28"/>
        </w:rPr>
        <w:t>сплавов, их</w:t>
      </w:r>
      <w:r w:rsidR="00C241B1" w:rsidRPr="00D33941">
        <w:rPr>
          <w:rFonts w:cs="Times New Roman"/>
          <w:spacing w:val="2"/>
          <w:szCs w:val="28"/>
        </w:rPr>
        <w:t xml:space="preserve"> свойства</w:t>
      </w:r>
      <w:r w:rsidRPr="00D33941">
        <w:rPr>
          <w:rFonts w:cs="Times New Roman"/>
          <w:spacing w:val="5"/>
          <w:szCs w:val="28"/>
        </w:rPr>
        <w:t xml:space="preserve">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FF0D82">
      <w:pgSz w:w="11906" w:h="16838"/>
      <w:pgMar w:top="697" w:right="1123" w:bottom="437" w:left="1134" w:header="720" w:footer="720" w:gutter="0"/>
      <w:cols w:space="720" w:equalWidth="0">
        <w:col w:w="9644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F1" w:rsidRDefault="00BC6DF1" w:rsidP="00382D68">
      <w:pPr>
        <w:spacing w:after="0" w:line="240" w:lineRule="auto"/>
      </w:pPr>
      <w:r>
        <w:separator/>
      </w:r>
    </w:p>
  </w:endnote>
  <w:endnote w:type="continuationSeparator" w:id="0">
    <w:p w:rsidR="00BC6DF1" w:rsidRDefault="00BC6DF1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029228"/>
      <w:docPartObj>
        <w:docPartGallery w:val="Page Numbers (Bottom of Page)"/>
        <w:docPartUnique/>
      </w:docPartObj>
    </w:sdtPr>
    <w:sdtEndPr/>
    <w:sdtContent>
      <w:p w:rsidR="00C241B1" w:rsidRDefault="00C241B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F1" w:rsidRDefault="00BC6DF1" w:rsidP="00382D68">
      <w:pPr>
        <w:spacing w:after="0" w:line="240" w:lineRule="auto"/>
      </w:pPr>
      <w:r>
        <w:separator/>
      </w:r>
    </w:p>
  </w:footnote>
  <w:footnote w:type="continuationSeparator" w:id="0">
    <w:p w:rsidR="00BC6DF1" w:rsidRDefault="00BC6DF1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B1" w:rsidRDefault="00C241B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 w15:restartNumberingAfterBreak="0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 w15:restartNumberingAfterBreak="0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FE13693"/>
    <w:multiLevelType w:val="hybridMultilevel"/>
    <w:tmpl w:val="91C6EFFA"/>
    <w:lvl w:ilvl="0" w:tplc="CC3A74D6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 w15:restartNumberingAfterBreak="0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 w15:restartNumberingAfterBreak="0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 w15:restartNumberingAfterBreak="0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 w15:restartNumberingAfterBreak="0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 w15:restartNumberingAfterBreak="0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 w15:restartNumberingAfterBreak="0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 w:numId="4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06D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0F58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2940"/>
    <w:rsid w:val="008F4C9F"/>
    <w:rsid w:val="00984C45"/>
    <w:rsid w:val="0099386B"/>
    <w:rsid w:val="00993C38"/>
    <w:rsid w:val="009A13EA"/>
    <w:rsid w:val="009A3C30"/>
    <w:rsid w:val="009E0E67"/>
    <w:rsid w:val="00A10960"/>
    <w:rsid w:val="00A14044"/>
    <w:rsid w:val="00A176C8"/>
    <w:rsid w:val="00A2491A"/>
    <w:rsid w:val="00AD3E19"/>
    <w:rsid w:val="00AD591F"/>
    <w:rsid w:val="00AE269F"/>
    <w:rsid w:val="00AF6685"/>
    <w:rsid w:val="00B0239C"/>
    <w:rsid w:val="00B33513"/>
    <w:rsid w:val="00B51834"/>
    <w:rsid w:val="00B53BB5"/>
    <w:rsid w:val="00B567B8"/>
    <w:rsid w:val="00B7215D"/>
    <w:rsid w:val="00B766D2"/>
    <w:rsid w:val="00B81800"/>
    <w:rsid w:val="00B851BC"/>
    <w:rsid w:val="00BB7B4F"/>
    <w:rsid w:val="00BC6DF1"/>
    <w:rsid w:val="00BF04F3"/>
    <w:rsid w:val="00C045E7"/>
    <w:rsid w:val="00C07D06"/>
    <w:rsid w:val="00C1287B"/>
    <w:rsid w:val="00C17CD4"/>
    <w:rsid w:val="00C241B1"/>
    <w:rsid w:val="00C57F0F"/>
    <w:rsid w:val="00C67FE7"/>
    <w:rsid w:val="00C7271A"/>
    <w:rsid w:val="00C825C5"/>
    <w:rsid w:val="00C90F86"/>
    <w:rsid w:val="00C958EE"/>
    <w:rsid w:val="00CA2A51"/>
    <w:rsid w:val="00CA6594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551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B445B"/>
    <w:rsid w:val="00FC2C6E"/>
    <w:rsid w:val="00FC4E2E"/>
    <w:rsid w:val="00FD06FB"/>
    <w:rsid w:val="00FE3D21"/>
    <w:rsid w:val="00FF0D82"/>
    <w:rsid w:val="00FF313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BFFB6-6891-4730-8E60-76665EA7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CAD5-FCEA-459E-8108-5190A22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интернет</cp:lastModifiedBy>
  <cp:revision>31</cp:revision>
  <cp:lastPrinted>2019-03-03T07:50:00Z</cp:lastPrinted>
  <dcterms:created xsi:type="dcterms:W3CDTF">2017-09-05T11:04:00Z</dcterms:created>
  <dcterms:modified xsi:type="dcterms:W3CDTF">2021-12-08T08:06:00Z</dcterms:modified>
</cp:coreProperties>
</file>