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МИНИСТЕРСТВО ОБРАЗОВАНИЯ И НАУКИ 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CD5CD0">
        <w:t xml:space="preserve"> 2016</w:t>
      </w:r>
      <w:bookmarkStart w:id="1" w:name="_GoBack"/>
      <w:bookmarkEnd w:id="1"/>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Pr="009F6E39">
        <w:rPr>
          <w:u w:val="single"/>
        </w:rPr>
        <w:t>Хомякова Н.В.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О.С</w:t>
      </w:r>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6"/>
        <w:gridCol w:w="4111"/>
        <w:gridCol w:w="3027"/>
      </w:tblGrid>
      <w:tr w:rsidR="004C138B" w:rsidRPr="009F6E39" w:rsidTr="004C138B">
        <w:trPr>
          <w:tblHeader/>
        </w:trPr>
        <w:tc>
          <w:tcPr>
            <w:tcW w:w="2886" w:type="dxa"/>
            <w:vAlign w:val="center"/>
          </w:tcPr>
          <w:p w:rsidR="004C138B" w:rsidRPr="009F6E39" w:rsidRDefault="004C138B" w:rsidP="00E465DA">
            <w:pPr>
              <w:suppressAutoHyphens/>
              <w:jc w:val="center"/>
              <w:rPr>
                <w:i/>
              </w:rPr>
            </w:pPr>
            <w:r w:rsidRPr="009F6E39">
              <w:rPr>
                <w:i/>
              </w:rPr>
              <w:t>Формируемые компетенции</w:t>
            </w:r>
          </w:p>
        </w:tc>
        <w:tc>
          <w:tcPr>
            <w:tcW w:w="4111" w:type="dxa"/>
            <w:shd w:val="clear" w:color="auto" w:fill="auto"/>
            <w:vAlign w:val="center"/>
          </w:tcPr>
          <w:p w:rsidR="004C138B" w:rsidRPr="009F6E39" w:rsidRDefault="004C138B"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3027" w:type="dxa"/>
          </w:tcPr>
          <w:p w:rsidR="004C138B" w:rsidRPr="009F6E39" w:rsidRDefault="004C138B" w:rsidP="00E465DA">
            <w:pPr>
              <w:jc w:val="both"/>
              <w:rPr>
                <w:i/>
              </w:rPr>
            </w:pPr>
            <w:r w:rsidRPr="009F6E39">
              <w:rPr>
                <w:i/>
              </w:rPr>
              <w:t>Виды оценочных средств по уровню сложности/шифр раздела в данном документе</w:t>
            </w:r>
          </w:p>
        </w:tc>
      </w:tr>
      <w:tr w:rsidR="004C138B" w:rsidRPr="009F6E39" w:rsidTr="004C138B">
        <w:tc>
          <w:tcPr>
            <w:tcW w:w="2886" w:type="dxa"/>
            <w:vMerge w:val="restart"/>
          </w:tcPr>
          <w:p w:rsidR="004C138B" w:rsidRPr="009F6E39" w:rsidRDefault="004C138B" w:rsidP="00E465DA">
            <w:pPr>
              <w:suppressAutoHyphens/>
            </w:pPr>
            <w:r w:rsidRPr="009F6E39">
              <w:t>ПК – 25 способность организовывать  и  контролировать  технологический процесс в учебных мастерских, организациях и предприятиях эксплуатации транспортно-технологических машин и комплексов.</w:t>
            </w: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Знать:</w:t>
            </w:r>
          </w:p>
          <w:p w:rsidR="004C138B" w:rsidRPr="009F6E39" w:rsidRDefault="004C138B" w:rsidP="00E465DA">
            <w:pPr>
              <w:suppressAutoHyphens/>
              <w:rPr>
                <w:rFonts w:eastAsiaTheme="minorHAnsi"/>
                <w:lang w:eastAsia="en-US"/>
              </w:rPr>
            </w:pPr>
            <w:r w:rsidRPr="009F6E39">
              <w:rPr>
                <w:rFonts w:eastAsiaTheme="minorHAnsi"/>
                <w:lang w:eastAsia="en-US"/>
              </w:rPr>
              <w:t>-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 технологические процессы производства, компоновки оборудования, электрические схемы, правила пожарной безопасности</w:t>
            </w:r>
          </w:p>
          <w:p w:rsidR="004C138B" w:rsidRPr="009F6E39" w:rsidRDefault="004C138B" w:rsidP="00E465DA">
            <w:pPr>
              <w:tabs>
                <w:tab w:val="left" w:pos="1426"/>
              </w:tabs>
              <w:jc w:val="both"/>
            </w:pPr>
          </w:p>
        </w:tc>
        <w:tc>
          <w:tcPr>
            <w:tcW w:w="3027" w:type="dxa"/>
          </w:tcPr>
          <w:p w:rsidR="004C138B" w:rsidRPr="009F6E39" w:rsidRDefault="004C138B"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4C138B" w:rsidRPr="009F6E39" w:rsidRDefault="004C138B" w:rsidP="004C138B">
            <w:pPr>
              <w:suppressAutoHyphens/>
              <w:jc w:val="both"/>
            </w:pPr>
            <w:r w:rsidRPr="009F6E39">
              <w:t xml:space="preserve"> А.0 Тестовые вопросы</w:t>
            </w:r>
          </w:p>
          <w:p w:rsidR="004C138B" w:rsidRPr="009F6E39" w:rsidRDefault="004C138B" w:rsidP="004C138B">
            <w:pPr>
              <w:suppressAutoHyphens/>
            </w:pPr>
            <w:r w:rsidRPr="009F6E39">
              <w:t>А.1 Вопросы для опроса</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Уметь:</w:t>
            </w:r>
          </w:p>
          <w:p w:rsidR="004C138B" w:rsidRPr="009F6E39" w:rsidRDefault="004C138B" w:rsidP="00E465DA">
            <w:pPr>
              <w:suppressAutoHyphens/>
              <w:rPr>
                <w:rFonts w:eastAsiaTheme="minorHAnsi"/>
                <w:lang w:eastAsia="en-US"/>
              </w:rPr>
            </w:pPr>
            <w:r w:rsidRPr="009F6E39">
              <w:rPr>
                <w:rFonts w:eastAsiaTheme="minorHAnsi"/>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4C138B" w:rsidRPr="009F6E39" w:rsidRDefault="004C138B" w:rsidP="00E465DA">
            <w:pPr>
              <w:suppressAutoHyphens/>
              <w:rPr>
                <w:rFonts w:eastAsiaTheme="minorHAnsi"/>
                <w:lang w:eastAsia="en-US"/>
              </w:rPr>
            </w:pPr>
            <w:r w:rsidRPr="009F6E39">
              <w:rPr>
                <w:rFonts w:eastAsiaTheme="minorHAnsi"/>
                <w:lang w:eastAsia="en-US"/>
              </w:rPr>
              <w:t>- четко обозначить и излагать требования о мерах безопасности при проведении инструктажа персоналу</w:t>
            </w:r>
          </w:p>
          <w:p w:rsidR="004C138B" w:rsidRPr="009F6E39" w:rsidRDefault="004C138B" w:rsidP="00E465DA">
            <w:pPr>
              <w:tabs>
                <w:tab w:val="left" w:pos="1416"/>
              </w:tabs>
              <w:jc w:val="both"/>
            </w:pPr>
          </w:p>
        </w:tc>
        <w:tc>
          <w:tcPr>
            <w:tcW w:w="3027" w:type="dxa"/>
          </w:tcPr>
          <w:p w:rsidR="004C138B" w:rsidRPr="009F6E39" w:rsidRDefault="004C138B"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4C138B" w:rsidRPr="009F6E39" w:rsidRDefault="004C138B" w:rsidP="004C138B">
            <w:pPr>
              <w:suppressAutoHyphens/>
            </w:pPr>
            <w:r w:rsidRPr="009F6E39">
              <w:t xml:space="preserve">Блок В.0. Варианты заданий для выполнения письменной  контрольной работы </w:t>
            </w:r>
          </w:p>
          <w:p w:rsidR="004C138B" w:rsidRPr="009F6E39" w:rsidRDefault="004C138B" w:rsidP="004C138B">
            <w:pPr>
              <w:suppressAutoHyphens/>
            </w:pPr>
            <w:r w:rsidRPr="009F6E39">
              <w:t>Блок В.1. Типовые задачи</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Владеть:</w:t>
            </w:r>
          </w:p>
          <w:p w:rsidR="004C138B" w:rsidRPr="009F6E39" w:rsidRDefault="004C138B" w:rsidP="00E465DA">
            <w:pPr>
              <w:suppressAutoHyphens/>
              <w:rPr>
                <w:rFonts w:eastAsiaTheme="minorHAnsi"/>
                <w:lang w:eastAsia="en-US"/>
              </w:rPr>
            </w:pPr>
            <w:r w:rsidRPr="009F6E39">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4C138B" w:rsidRPr="009F6E39" w:rsidRDefault="004C138B" w:rsidP="00E465DA">
            <w:pPr>
              <w:suppressAutoHyphens/>
              <w:jc w:val="both"/>
              <w:rPr>
                <w:b/>
                <w:u w:val="single"/>
              </w:rPr>
            </w:pPr>
            <w:r w:rsidRPr="009F6E39">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3027" w:type="dxa"/>
          </w:tcPr>
          <w:p w:rsidR="004C138B" w:rsidRPr="009F6E39" w:rsidRDefault="004C138B"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4C138B" w:rsidRPr="009F6E39" w:rsidRDefault="004C138B"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Pr="009F6E39" w:rsidRDefault="00502277"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 А - Оценочные средства для диагностирования сформированности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lastRenderedPageBreak/>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Убедиться в наличии пульса, повернуть на живот с подстраховкой шейного отдела 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присоединены     к глухозаземленнои  нейтрали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глухозаземленнои нейтрали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lastRenderedPageBreak/>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 сопротивление заземления нейтрали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w:t>
            </w:r>
            <w:r w:rsidRPr="009F6E39">
              <w:rPr>
                <w:rFonts w:ascii="Times New Roman" w:hAnsi="Times New Roman" w:cs="Times New Roman"/>
                <w:bCs/>
                <w:iCs/>
                <w:sz w:val="24"/>
                <w:szCs w:val="24"/>
              </w:rPr>
              <w:lastRenderedPageBreak/>
              <w:t>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В каком случае может быть применено сверхнизкое (малое) напряжение в электроустановках до 1 кВ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Какие из перечисленных мер могут применяться для защиты при косвенном прикосновении в цепях, питающих переносные электроприемники?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Величину участка определяет инспектор энергонадзора.</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Разрешается   только   в   единичных   случаях   с   разрешения    органов энергонадзора.</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t>18</w:t>
      </w:r>
      <w:r w:rsidR="00792093" w:rsidRPr="009F6E39">
        <w:rPr>
          <w:bCs/>
        </w:rPr>
        <w:t>. Какие конструктивные элементы зданий и сооружений могут рассматриваться как естественные молниеприемники?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Только на электроустановки переменного тока напряжением до 380 кВ.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Электроустановки напряжением до 10 кВ и выше 10 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Г) На работников всех организаций независимо от формы собственности, занятых техническим 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организации,   независимо от форм  собственности  и  организационно-правовых    форм,    эксплуатирующие    действующие    электроустановки напряжением до 220 кВ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кВ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Ростехнадзор.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Главгосэнергонадзор.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Помещения   без   повышенной   опасности,   помещения   с   повышенной опасностью, опасные </w:t>
            </w:r>
            <w:r w:rsidRPr="009F6E39">
              <w:rPr>
                <w:rFonts w:ascii="Times New Roman" w:hAnsi="Times New Roman"/>
                <w:bCs/>
                <w:iCs/>
                <w:sz w:val="24"/>
                <w:szCs w:val="24"/>
              </w:rPr>
              <w:lastRenderedPageBreak/>
              <w:t>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15. С какой нейтралью должны работать электрические сети напряжением 10 кВ?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С глухозаземленной нейтралью.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С эффективно заземленной нейтралью.</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С изолированной нейтралью и с нейтралью,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 любой из перечисленных видов нейтрали.</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16. Какие электроприемники относятся к электроприемникам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А)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Электроприемники,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17. Какие электроприемники относятся к электроприемникам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Электроприемники,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23. Какие помещения относятся к электропомещениям?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 xml:space="preserve">Б) Помещения или отгороженные (например, сетками) части помещения, в которых    расположено    электрооборудование,    доступное   только   для квалифицированного </w:t>
            </w:r>
            <w:r w:rsidRPr="009F6E39">
              <w:rPr>
                <w:rFonts w:ascii="Times New Roman" w:hAnsi="Times New Roman"/>
                <w:bCs/>
                <w:iCs/>
                <w:sz w:val="24"/>
                <w:szCs w:val="24"/>
              </w:rPr>
              <w:lastRenderedPageBreak/>
              <w:t>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lastRenderedPageBreak/>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Можно, если на это есть разрешение органа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После получения разрешения от органов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После получения разрешения от органов Ростехнадзора и наличия договора с энергоснабжающей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После согласования с органами Ростехнадзора.</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32. Какой документ определяет порядок технологического присоединения энергопринимающих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Процедура присоединения энергопринимающих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lastRenderedPageBreak/>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 потребителей, установленная мощность электроустановок которых не превышает 10 кВА.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45. Какой персонал относится к электротехнологическому?</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Персонал,    который    проводит   обслуживание   электротехнологических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В) Персонал,     который     проводит     монтаж,     наладку     и     испытание электротехнологического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Инспектор Ростехнадзора.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 оборудование, ЛЭП и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Руководитель энергоснабжающей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Какой запас траноформаторного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Неснижаемый запас не менее 110 % объема наиболее вместимого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Территориальный орган Ростехнадзора.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Можно принимать любые из перечисленных мер либо провести расшиновку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Энергоснабжающая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Персонал Потребителя по согласованию с энергоснабжающей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Органы энергонадзора.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Параметрам сети и электроприемника.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Параметрам сети и электроприемника,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Электрооборудование во взрывопожаробезопасном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есть разрешение органов Ростехнадзора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С  одной  стороны  -  руководитель  Потребителя,   с другой  стороны  -инспектор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Представители   управления   энергонадзора   территориального   органа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молниеприемники?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Когда проводится проверка и осмотр устройств молниезащиты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а также после установки системы молниезащиты, после внесения каких-либо изменений в систему молниезащиты, после любых 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после внесения изменений в систему молниезащиты.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Когда проводится проверка состояния устройств молниезащиты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При температуре окружающего воздуха не ниже 0 градусов Цельсия и скорости ветра не выше </w:t>
            </w:r>
            <w:r w:rsidRPr="009F6E39">
              <w:rPr>
                <w:rFonts w:ascii="Times New Roman" w:hAnsi="Times New Roman"/>
                <w:bCs/>
                <w:iCs/>
                <w:sz w:val="24"/>
                <w:szCs w:val="24"/>
              </w:rPr>
              <w:lastRenderedPageBreak/>
              <w:t>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lastRenderedPageBreak/>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lastRenderedPageBreak/>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неотпускающий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Как измерить емкость конденсатора с помощью мостовой схемы? фарадометра ЭФ?</w:t>
      </w:r>
    </w:p>
    <w:p w:rsidR="006E476A" w:rsidRPr="009F6E39" w:rsidRDefault="005C4320" w:rsidP="00862415">
      <w:pPr>
        <w:jc w:val="both"/>
      </w:pPr>
      <w:r w:rsidRPr="009F6E39">
        <w:t xml:space="preserve">3.2 </w:t>
      </w:r>
      <w:r w:rsidR="006E476A" w:rsidRPr="009F6E39">
        <w:t xml:space="preserve"> Как устроен фарадометр типа ЭФ?</w:t>
      </w:r>
    </w:p>
    <w:p w:rsidR="006E476A" w:rsidRPr="009F6E39" w:rsidRDefault="005C4320" w:rsidP="00862415">
      <w:pPr>
        <w:jc w:val="both"/>
      </w:pPr>
      <w:r w:rsidRPr="009F6E39">
        <w:t xml:space="preserve">3.3 </w:t>
      </w:r>
      <w:r w:rsidR="006E476A" w:rsidRPr="009F6E39">
        <w:t>Из каких блоков состоит цифровой фарадометр?</w:t>
      </w:r>
    </w:p>
    <w:p w:rsidR="006E476A" w:rsidRPr="009F6E39" w:rsidRDefault="005C4320" w:rsidP="00862415">
      <w:pPr>
        <w:jc w:val="both"/>
      </w:pPr>
      <w:r w:rsidRPr="009F6E39">
        <w:t xml:space="preserve">3.4 </w:t>
      </w:r>
      <w:r w:rsidR="006E476A" w:rsidRPr="009F6E39">
        <w:t xml:space="preserve"> По какому принципу работает цифровой фарадометр?</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lastRenderedPageBreak/>
        <w:t xml:space="preserve">3.12 </w:t>
      </w:r>
      <w:r w:rsidR="006E476A" w:rsidRPr="009F6E39">
        <w:t>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Почему при измерении сопротивления в омах шкала прибора прямая, а при измерении сопротивления в килоомах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Зануление.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Ответ: С</w:t>
      </w:r>
      <w:r w:rsidRPr="009F6E39">
        <w:rPr>
          <w:vertAlign w:val="subscript"/>
        </w:rPr>
        <w:t>н</w:t>
      </w:r>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lastRenderedPageBreak/>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нейтралью.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нейтралью.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М,Гн/км.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Iкз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режиме короткого замыкания Uм,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Km,</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зависящяго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рачётного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Iрез,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Iэкв,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Uм,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Lт,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железной      Двухп.    Одноп.    Двухп.     Одноп.    Двухп.   Одноп.     Двухп.    Одноп.     Двухп.    Одноп.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Lэ,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Lн,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МФ100      МФ100     МФ100    МФ100      МФ100     МФ100      МФ100     МФ100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Определить отключающую способность автоматической защиты электроустановки, имеющей зануление,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1. Определить номинальный ток электроустановки Iэ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тока, протекающего через предохранитель, Iмакс,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Iн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замыкания Iк,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инадёжности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кВА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Электродвигате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нейтралью.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Ом</w:t>
      </w:r>
      <w:r w:rsidR="00CC4702" w:rsidRPr="009F6E39">
        <w:rPr>
          <w:rFonts w:ascii="Cambria Math" w:hAnsi="Cambria Math"/>
        </w:rPr>
        <w:t>⋅</w:t>
      </w:r>
      <w:r w:rsidR="00CC4702" w:rsidRPr="009F6E39">
        <w:t>м. Радиусы полушаровых электродов: r</w:t>
      </w:r>
      <w:r w:rsidR="00CC4702" w:rsidRPr="009F6E39">
        <w:rPr>
          <w:vertAlign w:val="subscript"/>
        </w:rPr>
        <w:t>1</w:t>
      </w:r>
      <w:r w:rsidR="00CC4702" w:rsidRPr="009F6E39">
        <w:t xml:space="preserve"> = 10 cм; r</w:t>
      </w:r>
      <w:r w:rsidR="00CC4702" w:rsidRPr="009F6E39">
        <w:rPr>
          <w:vertAlign w:val="subscript"/>
        </w:rPr>
        <w:t>2</w:t>
      </w:r>
      <w:r w:rsidR="00CC4702" w:rsidRPr="009F6E39">
        <w:t xml:space="preserve"> = 10 cм; r</w:t>
      </w:r>
      <w:r w:rsidR="00CC4702" w:rsidRPr="009F6E39">
        <w:rPr>
          <w:vertAlign w:val="subscript"/>
        </w:rPr>
        <w:t>3</w:t>
      </w:r>
      <w:r w:rsidR="00CC4702" w:rsidRPr="009F6E39">
        <w:t xml:space="preserve"> = 20 cм.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r w:rsidR="000648A1" w:rsidRPr="009F6E39">
        <w:t xml:space="preserve">пр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lastRenderedPageBreak/>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нейтраль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пус заземлён полушаровым заземлит</w:t>
      </w:r>
      <w:r w:rsidR="000648F8" w:rsidRPr="009F6E39">
        <w:t>елем радиусом r = 25 см. Удель</w:t>
      </w:r>
      <w:r w:rsidR="00CC4702" w:rsidRPr="009F6E39">
        <w:t>ное сопротивление грунта составляет 40 Ом·м; ток замыкания равен 25 А;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 В, радиус полушарового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Ом</w:t>
      </w:r>
      <w:r w:rsidR="00D8330E" w:rsidRPr="009F6E39">
        <w:rPr>
          <w:rFonts w:ascii="Cambria Math" w:hAnsi="Cambria Math"/>
        </w:rPr>
        <w:t>⋅</w:t>
      </w:r>
      <w:r w:rsidR="00D8330E" w:rsidRPr="009F6E39">
        <w:t>м. Радиусы полушаровых электродов: r</w:t>
      </w:r>
      <w:r w:rsidR="00D8330E" w:rsidRPr="009F6E39">
        <w:rPr>
          <w:vertAlign w:val="subscript"/>
        </w:rPr>
        <w:t>1</w:t>
      </w:r>
      <w:r w:rsidR="00D8330E" w:rsidRPr="009F6E39">
        <w:t xml:space="preserve"> = 20 cм; r</w:t>
      </w:r>
      <w:r w:rsidR="00D8330E" w:rsidRPr="009F6E39">
        <w:rPr>
          <w:vertAlign w:val="subscript"/>
        </w:rPr>
        <w:t>2</w:t>
      </w:r>
      <w:r w:rsidR="00D8330E" w:rsidRPr="009F6E39">
        <w:t xml:space="preserve"> = 20 cм; r</w:t>
      </w:r>
      <w:r w:rsidR="00D8330E" w:rsidRPr="009F6E39">
        <w:rPr>
          <w:vertAlign w:val="subscript"/>
        </w:rPr>
        <w:t>3</w:t>
      </w:r>
      <w:r w:rsidR="00D8330E" w:rsidRPr="009F6E39">
        <w:t xml:space="preserve"> = 20 cм.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щегося корпуса электрооборудования деревянным бруском. Удельное сопротивление дерева 104 Ом</w:t>
      </w:r>
      <w:r w:rsidR="00D8330E" w:rsidRPr="009F6E39">
        <w:rPr>
          <w:rFonts w:ascii="Cambria Math" w:hAnsi="Cambria Math"/>
        </w:rPr>
        <w:t>⋅</w:t>
      </w:r>
      <w:r w:rsidR="00D8330E" w:rsidRPr="009F6E39">
        <w:t>м; длина бруска 1,5 м, сечение 0,08×0,08 м. Корпус заземлён полушаровым заземлителем радиусом r = 15 см. Удельное сопротивление грунта составляет 160 Ом</w:t>
      </w:r>
      <w:r w:rsidR="00D8330E" w:rsidRPr="009F6E39">
        <w:rPr>
          <w:rFonts w:ascii="Cambria Math" w:hAnsi="Cambria Math"/>
        </w:rPr>
        <w:t>⋅</w:t>
      </w:r>
      <w:r w:rsidR="00D8330E" w:rsidRPr="009F6E39">
        <w:t>м; ток замыкания равен 30 А;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нейтралью произошло замыкание фазы на землю. Значения сопротивления растеканию тока в месте замыкания R</w:t>
      </w:r>
      <w:r w:rsidRPr="009F6E39">
        <w:rPr>
          <w:vertAlign w:val="subscript"/>
        </w:rPr>
        <w:t>з</w:t>
      </w:r>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 С - Оценочные средства для диагностирования сформированности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Вопросы к экзамену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электропомещениям?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 В с глухозаземленной  нейтралью?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чем отличие устройств зануления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общего воздействия магнитного поля (А/м) установлен для человека, находящегося на работем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6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10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выполнять уборку коридоров ЗРУ и электропомещений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порядок действий при присоединении мегаомметра?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Pr="009F6E39" w:rsidRDefault="00CB0B51"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Pr="001C009D" w:rsidRDefault="00561A77" w:rsidP="00561A77">
      <w:pPr>
        <w:jc w:val="both"/>
        <w:rPr>
          <w:sz w:val="28"/>
          <w:szCs w:val="28"/>
        </w:rPr>
      </w:pPr>
      <w:r w:rsidRPr="001C009D">
        <w:rPr>
          <w:rStyle w:val="aff2"/>
          <w:rFonts w:eastAsia="Calibri"/>
          <w:bCs w:val="0"/>
          <w:sz w:val="28"/>
          <w:szCs w:val="28"/>
        </w:rPr>
        <w:lastRenderedPageBreak/>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suppressAutoHyphens/>
        <w:jc w:val="both"/>
        <w:rPr>
          <w:rFonts w:eastAsia="Calibri"/>
          <w:b/>
          <w:sz w:val="28"/>
          <w:szCs w:val="22"/>
          <w:lang w:eastAsia="en-US"/>
        </w:rPr>
      </w:pPr>
    </w:p>
    <w:p w:rsidR="00561A77" w:rsidRPr="006530B2" w:rsidRDefault="00561A77" w:rsidP="00561A77">
      <w:pPr>
        <w:suppressAutoHyphens/>
        <w:jc w:val="both"/>
        <w:rPr>
          <w:rFonts w:eastAsia="Calibri"/>
          <w:i/>
          <w:sz w:val="28"/>
          <w:szCs w:val="22"/>
          <w:lang w:eastAsia="en-US"/>
        </w:rPr>
      </w:pPr>
      <w:r w:rsidRPr="006530B2">
        <w:rPr>
          <w:rFonts w:eastAsia="Calibri"/>
          <w:b/>
          <w:sz w:val="28"/>
          <w:szCs w:val="22"/>
          <w:lang w:eastAsia="en-US"/>
        </w:rPr>
        <w:t>Оценивание ответа на экзамене</w:t>
      </w:r>
      <w:r w:rsidRPr="006530B2">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61A77" w:rsidRPr="006530B2" w:rsidTr="00930138">
        <w:trPr>
          <w:tblHeader/>
        </w:trPr>
        <w:tc>
          <w:tcPr>
            <w:tcW w:w="2137"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4-балльная шкала</w:t>
            </w:r>
          </w:p>
        </w:tc>
        <w:tc>
          <w:tcPr>
            <w:tcW w:w="3118"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Показатели</w:t>
            </w:r>
          </w:p>
        </w:tc>
        <w:tc>
          <w:tcPr>
            <w:tcW w:w="4961"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Критерии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Отлично</w:t>
            </w:r>
          </w:p>
        </w:tc>
        <w:tc>
          <w:tcPr>
            <w:tcW w:w="3118" w:type="dxa"/>
            <w:vMerge w:val="restart"/>
            <w:shd w:val="clear" w:color="auto" w:fill="auto"/>
          </w:tcPr>
          <w:p w:rsidR="00561A77" w:rsidRPr="00827F12" w:rsidRDefault="00561A77" w:rsidP="00930138">
            <w:pPr>
              <w:suppressAutoHyphens/>
              <w:rPr>
                <w:rFonts w:eastAsia="Calibri"/>
                <w:szCs w:val="22"/>
                <w:lang w:eastAsia="en-US"/>
              </w:rPr>
            </w:pPr>
            <w:r w:rsidRPr="00827F12">
              <w:rPr>
                <w:rFonts w:eastAsia="Calibri"/>
                <w:szCs w:val="22"/>
                <w:lang w:eastAsia="en-US"/>
              </w:rPr>
              <w:t>1. Полнота изложения теоретического материала;</w:t>
            </w:r>
          </w:p>
          <w:p w:rsidR="00561A77" w:rsidRPr="00827F12" w:rsidRDefault="00561A77" w:rsidP="00930138">
            <w:pPr>
              <w:suppressAutoHyphens/>
              <w:rPr>
                <w:rFonts w:eastAsia="Calibri"/>
                <w:szCs w:val="22"/>
                <w:lang w:eastAsia="en-US"/>
              </w:rPr>
            </w:pPr>
            <w:r w:rsidRPr="00827F12">
              <w:rPr>
                <w:rFonts w:eastAsia="Calibri"/>
                <w:szCs w:val="22"/>
                <w:lang w:eastAsia="en-US"/>
              </w:rPr>
              <w:t xml:space="preserve">2. Полнота и правильность </w:t>
            </w:r>
            <w:r w:rsidRPr="00827F12">
              <w:rPr>
                <w:rFonts w:eastAsia="Calibri"/>
                <w:szCs w:val="22"/>
                <w:lang w:eastAsia="en-US"/>
              </w:rPr>
              <w:lastRenderedPageBreak/>
              <w:t>решения практического задания;</w:t>
            </w:r>
          </w:p>
          <w:p w:rsidR="00561A77" w:rsidRPr="00827F12" w:rsidRDefault="00561A77" w:rsidP="00930138">
            <w:pPr>
              <w:suppressAutoHyphens/>
              <w:rPr>
                <w:rFonts w:eastAsia="Calibri"/>
                <w:szCs w:val="22"/>
                <w:lang w:eastAsia="en-US"/>
              </w:rPr>
            </w:pPr>
            <w:r w:rsidRPr="00827F12">
              <w:rPr>
                <w:rFonts w:eastAsia="Calibri"/>
                <w:szCs w:val="22"/>
                <w:lang w:eastAsia="en-US"/>
              </w:rPr>
              <w:t>3. Правильность и/или аргументированность изложения (последовательность действий);</w:t>
            </w:r>
          </w:p>
          <w:p w:rsidR="00561A77" w:rsidRPr="00827F12" w:rsidRDefault="00561A77" w:rsidP="00930138">
            <w:pPr>
              <w:suppressAutoHyphens/>
              <w:rPr>
                <w:rFonts w:eastAsia="Calibri"/>
                <w:szCs w:val="22"/>
                <w:lang w:eastAsia="en-US"/>
              </w:rPr>
            </w:pPr>
            <w:r w:rsidRPr="00827F12">
              <w:rPr>
                <w:rFonts w:eastAsia="Calibri"/>
                <w:szCs w:val="22"/>
                <w:lang w:eastAsia="en-US"/>
              </w:rPr>
              <w:t>4. Самостоятельность ответа;</w:t>
            </w:r>
          </w:p>
          <w:p w:rsidR="00561A77" w:rsidRPr="00827F12" w:rsidRDefault="00561A77" w:rsidP="00930138">
            <w:pPr>
              <w:suppressAutoHyphens/>
              <w:rPr>
                <w:rFonts w:eastAsia="Calibri"/>
                <w:szCs w:val="22"/>
                <w:lang w:eastAsia="en-US"/>
              </w:rPr>
            </w:pPr>
            <w:r w:rsidRPr="00827F12">
              <w:rPr>
                <w:rFonts w:eastAsia="Calibri"/>
                <w:szCs w:val="22"/>
                <w:lang w:eastAsia="en-US"/>
              </w:rPr>
              <w:t>5. Культура речи;</w:t>
            </w:r>
          </w:p>
          <w:p w:rsidR="00561A77" w:rsidRPr="00827F12" w:rsidRDefault="00561A77" w:rsidP="00930138">
            <w:pPr>
              <w:suppressAutoHyphens/>
              <w:rPr>
                <w:rFonts w:eastAsia="Calibri"/>
                <w:szCs w:val="22"/>
                <w:lang w:eastAsia="en-US"/>
              </w:rPr>
            </w:pPr>
            <w:r w:rsidRPr="00827F12">
              <w:rPr>
                <w:rFonts w:eastAsia="Calibri"/>
                <w:szCs w:val="22"/>
                <w:lang w:eastAsia="en-US"/>
              </w:rPr>
              <w:t>6. и т.д.</w:t>
            </w: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827F12">
              <w:rPr>
                <w:rFonts w:eastAsia="Calibri"/>
                <w:szCs w:val="22"/>
                <w:lang w:eastAsia="en-US"/>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lastRenderedPageBreak/>
              <w:t>Хорошо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Удовлетворительно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 xml:space="preserve">Неудовлетворительно </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385" w:rsidRDefault="00D53385" w:rsidP="00D25DA2">
      <w:r>
        <w:separator/>
      </w:r>
    </w:p>
  </w:endnote>
  <w:endnote w:type="continuationSeparator" w:id="0">
    <w:p w:rsidR="00D53385" w:rsidRDefault="00D53385"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pPr>
      <w:pStyle w:val="aa"/>
      <w:jc w:val="center"/>
    </w:pPr>
    <w:r>
      <w:fldChar w:fldCharType="begin"/>
    </w:r>
    <w:r>
      <w:instrText>PAGE   \* MERGEFORMAT</w:instrText>
    </w:r>
    <w:r>
      <w:fldChar w:fldCharType="separate"/>
    </w:r>
    <w:r w:rsidR="00CD5CD0">
      <w:rPr>
        <w:noProof/>
      </w:rPr>
      <w:t>2</w:t>
    </w:r>
    <w:r>
      <w:rPr>
        <w:noProof/>
      </w:rPr>
      <w:fldChar w:fldCharType="end"/>
    </w:r>
  </w:p>
  <w:p w:rsidR="00D53385" w:rsidRDefault="00D5338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53385" w:rsidRDefault="00D533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CD5CD0">
      <w:rPr>
        <w:rStyle w:val="af1"/>
        <w:noProof/>
      </w:rPr>
      <w:t>51</w:t>
    </w:r>
    <w:r>
      <w:rPr>
        <w:rStyle w:val="af1"/>
      </w:rPr>
      <w:fldChar w:fldCharType="end"/>
    </w:r>
  </w:p>
  <w:p w:rsidR="00D53385" w:rsidRDefault="00D533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385" w:rsidRDefault="00D53385" w:rsidP="00D25DA2">
      <w:r>
        <w:separator/>
      </w:r>
    </w:p>
  </w:footnote>
  <w:footnote w:type="continuationSeparator" w:id="0">
    <w:p w:rsidR="00D53385" w:rsidRDefault="00D53385"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6B447-5865-4491-9061-28AE2BD3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51</Pages>
  <Words>13133</Words>
  <Characters>93755</Characters>
  <Application>Microsoft Office Word</Application>
  <DocSecurity>0</DocSecurity>
  <Lines>781</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12</cp:revision>
  <cp:lastPrinted>2015-03-31T23:42:00Z</cp:lastPrinted>
  <dcterms:created xsi:type="dcterms:W3CDTF">2016-10-25T11:34:00Z</dcterms:created>
  <dcterms:modified xsi:type="dcterms:W3CDTF">2019-11-07T04:19:00Z</dcterms:modified>
</cp:coreProperties>
</file>