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«Б.1.В.ОД.12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6F46" w:rsidRDefault="003E6F46" w:rsidP="003E6F46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7D6B3E">
        <w:rPr>
          <w:sz w:val="24"/>
        </w:rPr>
        <w:t>20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4D3DDA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4D3DDA">
        <w:rPr>
          <w:rFonts w:ascii="Times New Roman" w:eastAsia="Times New Roman" w:hAnsi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академический бакалавр.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DF5B17">
        <w:tc>
          <w:tcPr>
            <w:tcW w:w="8990" w:type="dxa"/>
            <w:hideMark/>
          </w:tcPr>
          <w:bookmarkEnd w:id="2"/>
          <w:p w:rsidR="00D15C92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DF5B17">
        <w:tc>
          <w:tcPr>
            <w:tcW w:w="8990" w:type="dxa"/>
            <w:hideMark/>
          </w:tcPr>
          <w:p w:rsidR="00D15C92" w:rsidRPr="006B01FF" w:rsidRDefault="00D15C92" w:rsidP="00DF5B17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>1 Методические указания по самостоятельной работе ………</w:t>
            </w:r>
            <w:r w:rsidR="008D4C62">
              <w:rPr>
                <w:sz w:val="28"/>
                <w:szCs w:val="28"/>
              </w:rPr>
              <w:t>..</w:t>
            </w:r>
            <w:r w:rsidRPr="006B01FF">
              <w:rPr>
                <w:sz w:val="28"/>
                <w:szCs w:val="28"/>
              </w:rPr>
              <w:t>………</w:t>
            </w:r>
            <w:r w:rsidR="008D4C62">
              <w:rPr>
                <w:sz w:val="28"/>
                <w:szCs w:val="28"/>
              </w:rPr>
              <w:t>.</w:t>
            </w:r>
            <w:r w:rsidRPr="006B01FF">
              <w:rPr>
                <w:sz w:val="28"/>
                <w:szCs w:val="28"/>
              </w:rPr>
              <w:t xml:space="preserve">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DF5B17">
        <w:tc>
          <w:tcPr>
            <w:tcW w:w="8990" w:type="dxa"/>
          </w:tcPr>
          <w:p w:rsidR="00D15C92" w:rsidRPr="006B01FF" w:rsidRDefault="00D15C92" w:rsidP="00DF5B17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</w:t>
            </w:r>
            <w:r w:rsidR="008D4C62"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…….</w:t>
            </w:r>
          </w:p>
        </w:tc>
        <w:tc>
          <w:tcPr>
            <w:tcW w:w="757" w:type="dxa"/>
          </w:tcPr>
          <w:p w:rsidR="00D15C92" w:rsidRPr="006B01FF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DF5B17">
        <w:tc>
          <w:tcPr>
            <w:tcW w:w="8990" w:type="dxa"/>
          </w:tcPr>
          <w:p w:rsidR="00D15C92" w:rsidRPr="006B01FF" w:rsidRDefault="00D15C92" w:rsidP="00DF5B17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DF5B17">
        <w:tc>
          <w:tcPr>
            <w:tcW w:w="8990" w:type="dxa"/>
            <w:hideMark/>
          </w:tcPr>
          <w:p w:rsidR="00D15C92" w:rsidRPr="006B01FF" w:rsidRDefault="00D15C92" w:rsidP="00DF5B17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DF5B17">
        <w:tc>
          <w:tcPr>
            <w:tcW w:w="8990" w:type="dxa"/>
            <w:hideMark/>
          </w:tcPr>
          <w:p w:rsidR="00D15C92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5 </w:t>
            </w:r>
            <w:r w:rsidR="00AA3D67">
              <w:rPr>
                <w:rFonts w:ascii="Times New Roman"/>
                <w:sz w:val="28"/>
                <w:szCs w:val="28"/>
                <w:lang w:eastAsia="en-US"/>
              </w:rPr>
              <w:t xml:space="preserve">Методические указания по выполнению контрольной работы 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</w:t>
            </w:r>
            <w:r w:rsidR="008D4C62">
              <w:rPr>
                <w:rFonts w:ascii="Times New Roman"/>
                <w:sz w:val="28"/>
                <w:szCs w:val="28"/>
                <w:lang w:eastAsia="en-US"/>
              </w:rPr>
              <w:t>…..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D4C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8D4C62">
              <w:rPr>
                <w:rFonts w:ascii="Times New Roman"/>
                <w:sz w:val="28"/>
                <w:szCs w:val="28"/>
                <w:lang w:eastAsia="en-US"/>
              </w:rPr>
              <w:t>3</w:t>
            </w:r>
          </w:p>
        </w:tc>
      </w:tr>
      <w:tr w:rsidR="00D15C92" w:rsidRPr="006B01FF" w:rsidTr="00DF5B17">
        <w:tc>
          <w:tcPr>
            <w:tcW w:w="8990" w:type="dxa"/>
            <w:hideMark/>
          </w:tcPr>
          <w:p w:rsidR="00D15C92" w:rsidRPr="006B01FF" w:rsidRDefault="00D15C92" w:rsidP="00DF5B17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8D4C62" w:rsidP="00DF5B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</w:t>
      </w:r>
      <w:r w:rsidR="003E6F46">
        <w:rPr>
          <w:rFonts w:ascii="Times New Roman" w:hAnsi="Times New Roman"/>
          <w:bCs/>
          <w:sz w:val="28"/>
          <w:szCs w:val="28"/>
        </w:rPr>
        <w:t>уплению  на практическом занятии</w:t>
      </w:r>
      <w:r>
        <w:rPr>
          <w:rFonts w:ascii="Times New Roman" w:hAnsi="Times New Roman"/>
          <w:bCs/>
          <w:sz w:val="28"/>
          <w:szCs w:val="28"/>
        </w:rPr>
        <w:t xml:space="preserve">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 сообщений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первичного текста представляет конспект, теоретический материал конспектируется с учётом структуры его </w:t>
      </w:r>
      <w:r>
        <w:rPr>
          <w:rFonts w:ascii="Times New Roman" w:hAnsi="Times New Roman"/>
          <w:sz w:val="28"/>
          <w:szCs w:val="28"/>
        </w:rPr>
        <w:lastRenderedPageBreak/>
        <w:t>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контрольн</w:t>
      </w:r>
      <w:r w:rsidR="003E6F4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3E6F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подготовка к опросам, экзамену.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3E6F46" w:rsidRPr="00783742" w:rsidTr="003E6F46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Кол-во часов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Основы построения страховых тарифов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Перестрахование как форма обеспечения финансовой устойчивости страховых организаций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tabs>
                <w:tab w:val="center" w:pos="544"/>
              </w:tabs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Страхование имущества 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Страхование ответственности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Личное страхование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2</w:t>
            </w:r>
          </w:p>
        </w:tc>
      </w:tr>
      <w:tr w:rsidR="003E6F46" w:rsidRPr="00783742" w:rsidTr="003E6F46">
        <w:tc>
          <w:tcPr>
            <w:tcW w:w="1191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3E6F46" w:rsidRPr="003E6F46" w:rsidRDefault="003E6F46" w:rsidP="00DF5B17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10</w:t>
            </w:r>
          </w:p>
        </w:tc>
      </w:tr>
    </w:tbl>
    <w:p w:rsidR="003E6F46" w:rsidRDefault="003E6F46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Основы построения страховых тарифов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Страховая услуга как специфический товар. Сущность и понятие актуарных расчетов. Особенности и задачи актуарных расчетов. Понятие страхового тарифа. Основы построения страховых тарифов. Состав и структура тарифной ставки. Нетто-ставка: ее назначение и состав. Нагрузка и ее основные элементы. Методика расчета нетто-ставки по массовым рискованным видам страхования. Виды страховых тарифов. Тарифная политика, ее основные принципы.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Что означает термин «тариф», или «тарифная ставка»?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Поясните экономическую, юридическую и математическую сущность страхового взноса.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Каковы структура страхового тарифа и назначения его составляющих?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На каких принципах базируется тарифная политика?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суть и задача актуарных расчетов?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Какова взаимосвязь страховых услуг с особенностями расчета нетто-ставки?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Какие факторы влияют на величину тарифной 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принцип построения индивидуальных тарифов?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 влияет величина тарифа на финансовую устойчивость страховой организации?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3E6F46">
        <w:rPr>
          <w:rFonts w:ascii="Times New Roman" w:hAnsi="Times New Roman" w:cs="Times New Roman"/>
          <w:b/>
          <w:sz w:val="28"/>
          <w:szCs w:val="28"/>
        </w:rPr>
        <w:t>2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Перестрахование как форма обеспечения финансовой устойчивости страховых организаций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Сущность и экономическое значение перестрахования. Стороны в договоре перестрахования, их права и обязанности. Особенности правового регулирования перестраховочной деятельности в России. Формы перестраховочных договоров –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суммы,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убытка,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lastRenderedPageBreak/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убыточности, квотное перестрахование. Пропорциональное и непропорциональное перестрахование. Факультативное и облигаторное перестрахование. Значение перестрахования в развитии российского национального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Какова экономическая сущность перестрахования?</w:t>
      </w:r>
      <w:r>
        <w:rPr>
          <w:rFonts w:ascii="Times New Roman" w:hAnsi="Times New Roman" w:cs="Times New Roman"/>
          <w:sz w:val="28"/>
        </w:rPr>
        <w:t xml:space="preserve">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Какую роль играет перестрахование в повышении финансовой устойчивости страховых операций?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На каких принципах строятся отношения между перестраховщиком и перестрахователем?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 оформляются правовые отношения при перестраховании?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</w:rPr>
        <w:t xml:space="preserve"> </w:t>
      </w:r>
      <w:r w:rsidRPr="00153205">
        <w:rPr>
          <w:rFonts w:ascii="Times New Roman" w:hAnsi="Times New Roman" w:cs="Times New Roman"/>
          <w:sz w:val="28"/>
          <w:szCs w:val="28"/>
        </w:rPr>
        <w:t xml:space="preserve">Чем отличаются понятия: «сострахование» от «перестрахование»?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Что является предметом договора перестрахования?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Почему перестрахование называют одной из форм внешней торговли?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Чем отличается факультативное перестрахование от </w:t>
      </w:r>
      <w:proofErr w:type="gramStart"/>
      <w:r w:rsidRPr="00153205">
        <w:rPr>
          <w:rFonts w:ascii="Times New Roman" w:hAnsi="Times New Roman" w:cs="Times New Roman"/>
          <w:sz w:val="28"/>
          <w:szCs w:val="28"/>
        </w:rPr>
        <w:t>облигаторного</w:t>
      </w:r>
      <w:proofErr w:type="gramEnd"/>
      <w:r w:rsidRPr="001532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В чем заключается цель перестрахования для: а) цедента; б) цессионария?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организации (согласно действующему законодательству) имеют право заниматься перестрахованием?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факторы определяют величину собственного удержа</w:t>
      </w:r>
      <w:r w:rsidRPr="00153205">
        <w:rPr>
          <w:rFonts w:ascii="Times New Roman" w:hAnsi="Times New Roman" w:cs="Times New Roman"/>
          <w:sz w:val="28"/>
          <w:szCs w:val="28"/>
        </w:rPr>
        <w:softHyphen/>
        <w:t>ния (приоритета) перестрахователя в факультативном и облигаторном перестраховании?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ческое занятие </w:t>
      </w:r>
      <w:r w:rsidR="003E6F46">
        <w:rPr>
          <w:rFonts w:ascii="Times New Roman" w:hAnsi="Times New Roman" w:cs="Times New Roman"/>
          <w:b/>
          <w:sz w:val="28"/>
          <w:szCs w:val="28"/>
        </w:rPr>
        <w:t>3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 xml:space="preserve">Тема: Страхование имущества 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3E6F46" w:rsidRPr="00192B2D" w:rsidRDefault="00757B34" w:rsidP="003E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и классификация страхования имущества. Существенные условия договоров страхования имущества. Объекты страхования и страховые риски. Система страхового покрытия. Франшиза. Страхование имущества юридических лиц. Страхование грузов. Страхование финансовых и предпринимательских рисков.</w:t>
      </w:r>
      <w:r w:rsidR="003E6F46">
        <w:rPr>
          <w:rFonts w:ascii="Times New Roman" w:hAnsi="Times New Roman" w:cs="Times New Roman"/>
          <w:sz w:val="28"/>
          <w:szCs w:val="28"/>
        </w:rPr>
        <w:t xml:space="preserve"> </w:t>
      </w:r>
      <w:r w:rsidR="003E6F46" w:rsidRPr="00192B2D">
        <w:rPr>
          <w:rFonts w:ascii="Times New Roman" w:hAnsi="Times New Roman" w:cs="Times New Roman"/>
          <w:sz w:val="28"/>
          <w:szCs w:val="28"/>
        </w:rPr>
        <w:t>Страхование имущества физических лиц. Страхование сре</w:t>
      </w:r>
      <w:proofErr w:type="gramStart"/>
      <w:r w:rsidR="003E6F46" w:rsidRPr="00192B2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3E6F46" w:rsidRPr="00192B2D">
        <w:rPr>
          <w:rFonts w:ascii="Times New Roman" w:hAnsi="Times New Roman" w:cs="Times New Roman"/>
          <w:sz w:val="28"/>
          <w:szCs w:val="28"/>
        </w:rPr>
        <w:t>анспорта.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франшиза?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заключения договора страхования имущества.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Кем может быть заключен договор страхования предпринимательского риска?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перспективы на сегодняшний день в развитии страхования имущества?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Изложите сущность и порядок страхового покрытия при страховании грузов.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Что является объектами страхования финансовых рисков?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Поясните условия страхования грузов («с ответственностью за все риски», «с ответственностью за частную аварию» и др.).</w:t>
      </w:r>
    </w:p>
    <w:p w:rsidR="00757B34" w:rsidRDefault="00757B34" w:rsidP="00AA3D67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Каково социальное значение страхования имущества физических лиц?</w:t>
      </w:r>
    </w:p>
    <w:p w:rsidR="00757B34" w:rsidRPr="00E521D3" w:rsidRDefault="00757B34" w:rsidP="00AA3D67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E521D3">
        <w:rPr>
          <w:sz w:val="28"/>
        </w:rPr>
        <w:t>Охарактеризуйте программу «Авто-Каско».</w:t>
      </w:r>
    </w:p>
    <w:p w:rsidR="00757B34" w:rsidRDefault="00757B34" w:rsidP="00AA3D67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В чем сущность и назначение страхования жилого фонда?</w:t>
      </w:r>
    </w:p>
    <w:p w:rsidR="00757B34" w:rsidRDefault="00757B34" w:rsidP="00AA3D67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Какие объекты страхования имущества физических лиц страхуются по дополнительному договору?</w:t>
      </w:r>
    </w:p>
    <w:p w:rsidR="00757B34" w:rsidRPr="00E521D3" w:rsidRDefault="00757B34" w:rsidP="00AA3D67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Какие риски исключаются из покрытия страховщиком по страхованию имущества физических лиц?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A3D67">
        <w:rPr>
          <w:rFonts w:ascii="Times New Roman" w:hAnsi="Times New Roman" w:cs="Times New Roman"/>
          <w:b/>
          <w:sz w:val="28"/>
          <w:szCs w:val="28"/>
        </w:rPr>
        <w:t>4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ответственности</w:t>
      </w:r>
    </w:p>
    <w:p w:rsidR="00757B34" w:rsidRPr="00AD4757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757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Субъекты правоотношений при страховании ответственности. Объекты страхования и объем ответственности. Страхование гражданской ответственности владельцев сре</w:t>
      </w:r>
      <w:proofErr w:type="gramStart"/>
      <w:r w:rsidRPr="00757B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57B34">
        <w:rPr>
          <w:rFonts w:ascii="Times New Roman" w:hAnsi="Times New Roman" w:cs="Times New Roman"/>
          <w:sz w:val="28"/>
          <w:szCs w:val="28"/>
        </w:rPr>
        <w:t xml:space="preserve">анспорта, формы и порядок проведения. Система «Зеленая карта». Страхование профессиональной ответственности. Страхование ответственности перевозчиков. Иные виды страхования ответственности. </w:t>
      </w:r>
    </w:p>
    <w:p w:rsidR="00CF30C6" w:rsidRDefault="00CF30C6" w:rsidP="00CF30C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30C6">
        <w:rPr>
          <w:rFonts w:ascii="Times New Roman" w:hAnsi="Times New Roman" w:cs="Times New Roman"/>
          <w:sz w:val="28"/>
          <w:szCs w:val="28"/>
        </w:rPr>
        <w:t xml:space="preserve"> </w:t>
      </w:r>
      <w:r w:rsidR="00E947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4741">
        <w:rPr>
          <w:rFonts w:ascii="Times New Roman" w:hAnsi="Times New Roman" w:cs="Times New Roman"/>
          <w:sz w:val="28"/>
          <w:szCs w:val="28"/>
        </w:rPr>
        <w:t>азовите основные исторические предпосылки возникновения отрасли «страхование гражданской ответственности».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определение гражданской ответственности и ее отличие от уголовной, административной ответственности.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страхованию подлежит только гражданская ответственность?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по страхованию ответственности не применяются термины «страховая оценка» и «страховая сумма»?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виды лимитов ответственности вы знаете?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страны участвуют в системе </w:t>
      </w:r>
      <w:r w:rsidRPr="00757B34">
        <w:rPr>
          <w:rFonts w:ascii="Times New Roman" w:hAnsi="Times New Roman" w:cs="Times New Roman"/>
          <w:sz w:val="28"/>
          <w:szCs w:val="28"/>
        </w:rPr>
        <w:t>«Зеленая карта»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Кто может выступать страхователем по договору страхования профессиональной ответственности?</w:t>
      </w:r>
    </w:p>
    <w:p w:rsidR="007B5E7B" w:rsidRPr="00CF30C6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проблемы обязательного страхования</w:t>
      </w:r>
      <w:r w:rsidRPr="00757B34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средств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день?</w:t>
      </w:r>
    </w:p>
    <w:p w:rsidR="00CF30C6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Личное страхование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Характеристика основных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и видов личного страхования. Особенности договоров личного страхования, их существенные условия. Взаимосвязь личного страхования и социального страхового обеспечения. Страхование жизни. Страхование от несчастных случаев и болезней. Обязательное медицинское страхование. Основные программы добровольного медицинского страхования. 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E94741" w:rsidP="00D15C92">
      <w:pPr>
        <w:pStyle w:val="a9"/>
        <w:numPr>
          <w:ilvl w:val="0"/>
          <w:numId w:val="12"/>
        </w:numPr>
        <w:ind w:left="-142" w:firstLine="851"/>
        <w:jc w:val="both"/>
        <w:rPr>
          <w:sz w:val="28"/>
        </w:rPr>
      </w:pPr>
      <w:r>
        <w:rPr>
          <w:sz w:val="28"/>
        </w:rPr>
        <w:t>Какие основные направления и этапы оценки рисков по договорам личного страхования вы знаете</w:t>
      </w:r>
      <w:r w:rsidR="00757B34">
        <w:rPr>
          <w:sz w:val="28"/>
        </w:rPr>
        <w:t>?</w:t>
      </w:r>
    </w:p>
    <w:p w:rsidR="00757B34" w:rsidRPr="00F46ECB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94741">
        <w:rPr>
          <w:sz w:val="28"/>
        </w:rPr>
        <w:t xml:space="preserve">Перечислите отличительные особенности отрасли личного </w:t>
      </w:r>
      <w:r w:rsidR="00E94741">
        <w:rPr>
          <w:sz w:val="28"/>
        </w:rPr>
        <w:lastRenderedPageBreak/>
        <w:t>страхования.</w:t>
      </w:r>
    </w:p>
    <w:p w:rsidR="00757B34" w:rsidRPr="0074179D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94741">
        <w:rPr>
          <w:sz w:val="28"/>
          <w:szCs w:val="28"/>
        </w:rPr>
        <w:t>В чем заключаются особенности долгосрочного страхования жизни</w:t>
      </w:r>
      <w:r>
        <w:rPr>
          <w:sz w:val="28"/>
          <w:szCs w:val="28"/>
        </w:rPr>
        <w:t>?</w:t>
      </w:r>
    </w:p>
    <w:p w:rsidR="00757B34" w:rsidRPr="002D1A82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D1A82">
        <w:rPr>
          <w:sz w:val="28"/>
          <w:szCs w:val="28"/>
        </w:rPr>
        <w:t>Назовите особенности пожизненного страхования.</w:t>
      </w:r>
    </w:p>
    <w:p w:rsidR="002D1A82" w:rsidRPr="002D1A82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Дайте определение несчастного случая в личном страховании.</w:t>
      </w:r>
    </w:p>
    <w:p w:rsidR="002D1A82" w:rsidRPr="00013D99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заключается преимущество пожизненного страхования жизни в сравнении со срочным страхованием?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Как формируется прейскурант страховой компании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суть маркетинговой политики страховой организации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 и зачем проводится корректировка тарифных ставок </w:t>
      </w:r>
      <w:r>
        <w:rPr>
          <w:sz w:val="28"/>
          <w:szCs w:val="28"/>
        </w:rPr>
        <w:t>в добровольном медицинском страховании?</w:t>
      </w:r>
    </w:p>
    <w:p w:rsidR="00013D99" w:rsidRPr="00F46ECB" w:rsidRDefault="00013D99" w:rsidP="00D15C9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Перечислите, какими нормативными документами регулируется обязательное и добровольное медицинское страхование.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</w:t>
      </w:r>
      <w:r w:rsidR="00AA3D67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3D67" w:rsidRPr="00B54CB6" w:rsidRDefault="00AA3D67" w:rsidP="000B4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Страхование</w:t>
      </w:r>
      <w:r w:rsidRPr="00464D59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AA3D67" w:rsidRPr="00B54CB6" w:rsidRDefault="00AA3D67" w:rsidP="000B4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A3D67" w:rsidRPr="00006683" w:rsidRDefault="00AA3D67" w:rsidP="000B4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A3D67" w:rsidRPr="00006683" w:rsidRDefault="00AA3D67" w:rsidP="00AA3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AA3D67" w:rsidRPr="00AA3D67" w:rsidRDefault="00AA3D67" w:rsidP="00AA3D67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7">
        <w:rPr>
          <w:rFonts w:ascii="Times New Roman" w:hAnsi="Times New Roman" w:cs="Times New Roman"/>
          <w:sz w:val="28"/>
          <w:szCs w:val="28"/>
        </w:rPr>
        <w:t>Проблемы и перспективы развития страхового рынка в России в современных условиях.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Обязательное страхование грузов.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Страховой рынок России, анализ страховых взносов и страховых выплат за два года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Сущность и значение перестрахования.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Добровольное медицинское страхование, порядок и условия договора страхования.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num" w:pos="426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Особенности лицензирования страховой деятельности в Российской Федерации.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Страховые агенты и страховые брокеры: понятие, отличие, функции, обязанности.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Роль страхования в современном мировом сообществе.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Страховая защита и страховой фонд.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Страхование гражданской ответственности владельцев автотранспортных средств: сущность, принципы, анализ за два года.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lastRenderedPageBreak/>
        <w:t>Страховой надзор в Российской Федерации.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Страхование автомобильного транспорта, условия и порядок заключения договора, анализ за два года.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 xml:space="preserve">Правовые формы страховых организаций. 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Страхование от несчастных случаев и болезней (на примере страховой компании): сущность, особенности, анализ за два года.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Теоретические основы построения страховых тарифов.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AA3D67">
        <w:rPr>
          <w:sz w:val="28"/>
          <w:szCs w:val="28"/>
        </w:rPr>
        <w:t>Возможности государственного стимулирования роста рынка страхования.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Страхование имущества юридических лиц (на примере страховой компании): сущность, особенности, анализ за два года.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Общества взаимного страхования: история и современное состояние.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Договор страхования: содержание и правовые основы.</w:t>
      </w:r>
    </w:p>
    <w:p w:rsidR="00AA3D67" w:rsidRPr="00AA3D67" w:rsidRDefault="00AA3D67" w:rsidP="00AA3D67">
      <w:pPr>
        <w:pStyle w:val="a9"/>
        <w:widowControl/>
        <w:numPr>
          <w:ilvl w:val="0"/>
          <w:numId w:val="20"/>
        </w:numPr>
        <w:tabs>
          <w:tab w:val="clear" w:pos="36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A3D67">
        <w:rPr>
          <w:sz w:val="28"/>
          <w:szCs w:val="28"/>
        </w:rPr>
        <w:t>Становление и развитие страхования, его принципы.</w:t>
      </w:r>
    </w:p>
    <w:p w:rsidR="00AA3D67" w:rsidRDefault="00AA3D67" w:rsidP="00AA3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Подробные указания по выполнению контрольной работы изложены в методических указаниях:</w:t>
      </w:r>
    </w:p>
    <w:p w:rsidR="00AA3D67" w:rsidRPr="009A4EA6" w:rsidRDefault="00AA3D67" w:rsidP="00AA3D67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</w:t>
      </w:r>
      <w:r>
        <w:rPr>
          <w:b w:val="0"/>
          <w:color w:val="000000"/>
          <w:szCs w:val="28"/>
        </w:rPr>
        <w:t>Страхование</w:t>
      </w:r>
      <w:proofErr w:type="gramStart"/>
      <w:r w:rsidRPr="009A4EA6">
        <w:rPr>
          <w:b w:val="0"/>
          <w:color w:val="000000"/>
          <w:szCs w:val="28"/>
        </w:rPr>
        <w:t xml:space="preserve"> :</w:t>
      </w:r>
      <w:proofErr w:type="gramEnd"/>
      <w:r w:rsidRPr="009A4EA6">
        <w:rPr>
          <w:b w:val="0"/>
          <w:color w:val="000000"/>
          <w:szCs w:val="28"/>
        </w:rPr>
        <w:t xml:space="preserve"> методические указания по выполнению контрольных работ / Е.В. Алексеева;</w:t>
      </w:r>
      <w:r w:rsidRPr="009A4EA6">
        <w:rPr>
          <w:b w:val="0"/>
          <w:szCs w:val="28"/>
        </w:rPr>
        <w:t xml:space="preserve"> Бузулукский      гуманитарно-технолог.       ин-т       (филиал</w:t>
      </w:r>
      <w:r>
        <w:rPr>
          <w:b w:val="0"/>
          <w:szCs w:val="28"/>
        </w:rPr>
        <w:t>)    ОГУ.   – Бузулук, 201</w:t>
      </w:r>
      <w:r w:rsidR="00EA2430">
        <w:rPr>
          <w:b w:val="0"/>
          <w:szCs w:val="28"/>
        </w:rPr>
        <w:t>9</w:t>
      </w:r>
      <w:r>
        <w:rPr>
          <w:b w:val="0"/>
          <w:szCs w:val="28"/>
        </w:rPr>
        <w:t>. – 39</w:t>
      </w:r>
      <w:r w:rsidRPr="009A4EA6">
        <w:rPr>
          <w:b w:val="0"/>
          <w:szCs w:val="28"/>
        </w:rPr>
        <w:t xml:space="preserve"> с.</w:t>
      </w:r>
    </w:p>
    <w:p w:rsidR="00AA3D67" w:rsidRDefault="00AA3D6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в ходе </w:t>
      </w:r>
      <w:r w:rsidR="00AA3D67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</w:t>
      </w:r>
      <w:r>
        <w:rPr>
          <w:rFonts w:ascii="Times New Roman" w:hAnsi="Times New Roman"/>
          <w:sz w:val="28"/>
          <w:szCs w:val="28"/>
        </w:rPr>
        <w:lastRenderedPageBreak/>
        <w:t>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Экзамен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</w:t>
      </w: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17" w:rsidRDefault="00DF5B17" w:rsidP="00141F95">
      <w:pPr>
        <w:spacing w:after="0" w:line="240" w:lineRule="auto"/>
      </w:pPr>
      <w:r>
        <w:separator/>
      </w:r>
    </w:p>
  </w:endnote>
  <w:endnote w:type="continuationSeparator" w:id="0">
    <w:p w:rsidR="00DF5B17" w:rsidRDefault="00DF5B17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DF5B17" w:rsidRPr="00E47ED0" w:rsidRDefault="00DF5B1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4D3DDA">
          <w:rPr>
            <w:rFonts w:ascii="Times New Roman" w:hAnsi="Times New Roman"/>
            <w:noProof/>
            <w:sz w:val="28"/>
            <w:szCs w:val="28"/>
          </w:rPr>
          <w:t>13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5B17" w:rsidRPr="00E47ED0" w:rsidRDefault="00DF5B17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17" w:rsidRDefault="00DF5B17" w:rsidP="00141F95">
      <w:pPr>
        <w:spacing w:after="0" w:line="240" w:lineRule="auto"/>
      </w:pPr>
      <w:r>
        <w:separator/>
      </w:r>
    </w:p>
  </w:footnote>
  <w:footnote w:type="continuationSeparator" w:id="0">
    <w:p w:rsidR="00DF5B17" w:rsidRDefault="00DF5B17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17" w:rsidRDefault="00DF5B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1E36DD"/>
    <w:multiLevelType w:val="multilevel"/>
    <w:tmpl w:val="E118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9B0D52"/>
    <w:multiLevelType w:val="hybridMultilevel"/>
    <w:tmpl w:val="EE5E4490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 w:numId="19">
    <w:abstractNumId w:val="1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B4F75"/>
    <w:rsid w:val="000F109D"/>
    <w:rsid w:val="00140B76"/>
    <w:rsid w:val="00141F95"/>
    <w:rsid w:val="001D7CCA"/>
    <w:rsid w:val="001E1188"/>
    <w:rsid w:val="00225E74"/>
    <w:rsid w:val="0026392A"/>
    <w:rsid w:val="00265AB5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E6F46"/>
    <w:rsid w:val="003F67E5"/>
    <w:rsid w:val="00417B3E"/>
    <w:rsid w:val="0042450B"/>
    <w:rsid w:val="00492CCB"/>
    <w:rsid w:val="004B3854"/>
    <w:rsid w:val="004D3DDA"/>
    <w:rsid w:val="0050415B"/>
    <w:rsid w:val="00533C4A"/>
    <w:rsid w:val="00536D1F"/>
    <w:rsid w:val="0055202D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7D6B3E"/>
    <w:rsid w:val="00883996"/>
    <w:rsid w:val="008A0624"/>
    <w:rsid w:val="008D4C62"/>
    <w:rsid w:val="009137D4"/>
    <w:rsid w:val="009C5EE6"/>
    <w:rsid w:val="00A4219C"/>
    <w:rsid w:val="00AA3D67"/>
    <w:rsid w:val="00AC6AFD"/>
    <w:rsid w:val="00AD4757"/>
    <w:rsid w:val="00AF3742"/>
    <w:rsid w:val="00B06C65"/>
    <w:rsid w:val="00B24AE2"/>
    <w:rsid w:val="00B94CED"/>
    <w:rsid w:val="00BA74A0"/>
    <w:rsid w:val="00BC59C2"/>
    <w:rsid w:val="00C045CF"/>
    <w:rsid w:val="00C2065F"/>
    <w:rsid w:val="00C3243A"/>
    <w:rsid w:val="00C34863"/>
    <w:rsid w:val="00C402A5"/>
    <w:rsid w:val="00C8436D"/>
    <w:rsid w:val="00C84CB3"/>
    <w:rsid w:val="00CF30C6"/>
    <w:rsid w:val="00D15C92"/>
    <w:rsid w:val="00D2556C"/>
    <w:rsid w:val="00DE6DE0"/>
    <w:rsid w:val="00DF5B17"/>
    <w:rsid w:val="00E12420"/>
    <w:rsid w:val="00E94741"/>
    <w:rsid w:val="00EA2430"/>
    <w:rsid w:val="00EE64FD"/>
    <w:rsid w:val="00EF160C"/>
    <w:rsid w:val="00F6181E"/>
    <w:rsid w:val="00F6358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2020-02-16T17:04:00Z</dcterms:created>
  <dcterms:modified xsi:type="dcterms:W3CDTF">2020-02-16T17:05:00Z</dcterms:modified>
</cp:coreProperties>
</file>