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576607">
        <w:rPr>
          <w:i/>
          <w:sz w:val="24"/>
        </w:rPr>
        <w:t>Методика научно- исследовательской работы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A2AF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13E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1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13EE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научно-исследовательской работы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нау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FC13CE" w:rsidTr="00FC13CE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C13CE" w:rsidTr="00FC13C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алгоритм, основные требования,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в формировании индивидуальных образовательных маршрутов посредством использования системы теоретических и практических знаний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методики организации педагогической и проектно-исследовательской деятельности 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применять систематизированные научные знания в организации и реализации образовательного и воспитательного процесса; формировать логическую составляющую мыслительной и познавательной деятельности у детей дошкольного возраста.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</w:rPr>
              <w:t>практическими навыками организации исследовательской деятельности в области образования; знаниями о современных и ведущих тенденциях развития теоретических и практических основах образовательного процесса в дошкольном и начальном образовании.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FC13CE" w:rsidTr="00FC13CE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Pr="00FC13CE" w:rsidRDefault="00FC13CE" w:rsidP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основы 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детей </w:t>
            </w:r>
            <w:r>
              <w:rPr>
                <w:rFonts w:eastAsia="Times New Roman"/>
              </w:rPr>
              <w:lastRenderedPageBreak/>
              <w:t>дошкольного возраста.</w:t>
            </w:r>
          </w:p>
          <w:p w:rsidR="00FC13CE" w:rsidRDefault="00FC13CE">
            <w:pPr>
              <w:pStyle w:val="ReportMain"/>
              <w:keepLines/>
              <w:rPr>
                <w:rFonts w:eastAsia="Times New Roman"/>
                <w:b/>
                <w:szCs w:val="24"/>
                <w:u w:val="single"/>
              </w:rPr>
            </w:pP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детей дошкольного возраста; знаниями о  возрастных, психологических особенностях субъектов образовательной деятельности (детей)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FC13CE" w:rsidRDefault="00FC13CE" w:rsidP="00FC13C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FC13CE" w:rsidRDefault="00FC13CE" w:rsidP="00FC13C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C13CE" w:rsidRDefault="00FC13CE" w:rsidP="00FC13CE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FC13CE" w:rsidRDefault="00FC13CE" w:rsidP="00FC13C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FC13CE" w:rsidTr="00FC13CE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C13CE" w:rsidTr="00FC13CE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FC13CE" w:rsidTr="00FC13CE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C13CE" w:rsidTr="00FC13CE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C13CE" w:rsidRDefault="00FC13CE" w:rsidP="00FC13CE">
      <w:pPr>
        <w:pStyle w:val="ReportMain"/>
        <w:suppressAutoHyphens/>
        <w:ind w:firstLine="709"/>
        <w:jc w:val="both"/>
        <w:rPr>
          <w:szCs w:val="20"/>
        </w:rPr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p w:rsidR="00FC13CE" w:rsidRDefault="00FC13CE" w:rsidP="00FC13C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FC13CE" w:rsidTr="00FC13C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FC13CE" w:rsidTr="00FC13C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FC13CE" w:rsidTr="00FC13C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E" w:rsidRDefault="00FC13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Общая характеристика психолого-педагогического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Особенности проектной и </w:t>
            </w:r>
            <w:proofErr w:type="spellStart"/>
            <w:r>
              <w:rPr>
                <w:rFonts w:eastAsia="Times New Roman"/>
                <w:szCs w:val="28"/>
              </w:rPr>
              <w:t>нсследовательской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lastRenderedPageBreak/>
              <w:t>деятельности</w:t>
            </w:r>
          </w:p>
          <w:p w:rsidR="00FC13CE" w:rsidRDefault="00FC13CE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rFonts w:eastAsia="Times New Roman"/>
                <w:szCs w:val="28"/>
              </w:rPr>
            </w:pPr>
          </w:p>
          <w:p w:rsidR="00FC13CE" w:rsidRDefault="00FC13CE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Методика и методология исследовательской деятельности </w:t>
            </w:r>
          </w:p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и анализ результатов исследов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тельской деятельности</w:t>
            </w:r>
          </w:p>
          <w:p w:rsidR="00FC13CE" w:rsidRDefault="00FC13CE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FC13CE" w:rsidTr="00FC13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E" w:rsidRDefault="00FC13C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FC13CE" w:rsidRDefault="00FC13CE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5C2CA5">
        <w:pPr>
          <w:pStyle w:val="a7"/>
          <w:jc w:val="center"/>
        </w:pPr>
        <w:fldSimple w:instr="PAGE   \* MERGEFORMAT">
          <w:r w:rsidR="009A2AFA">
            <w:rPr>
              <w:noProof/>
            </w:rPr>
            <w:t>6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A2AFA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96EF-5D1A-410B-B3E7-D32E502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26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95</cp:revision>
  <dcterms:created xsi:type="dcterms:W3CDTF">2016-10-09T16:26:00Z</dcterms:created>
  <dcterms:modified xsi:type="dcterms:W3CDTF">2019-11-02T07:31:00Z</dcterms:modified>
</cp:coreProperties>
</file>