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</w:t>
      </w:r>
      <w:r w:rsidR="00BE3571">
        <w:rPr>
          <w:i/>
          <w:szCs w:val="28"/>
          <w:u w:val="single"/>
        </w:rPr>
        <w:t>о</w:t>
      </w:r>
      <w:bookmarkStart w:id="0" w:name="_GoBack"/>
      <w:bookmarkEnd w:id="0"/>
      <w:r w:rsidR="00FF42B0">
        <w:rPr>
          <w:i/>
          <w:szCs w:val="28"/>
          <w:u w:val="single"/>
        </w:rPr>
        <w:t>-заочная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033EB">
        <w:rPr>
          <w:szCs w:val="28"/>
        </w:rPr>
        <w:t>2</w:t>
      </w:r>
      <w:r w:rsidR="0023436B">
        <w:rPr>
          <w:szCs w:val="28"/>
        </w:rPr>
        <w:t>1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033EB" w:rsidRDefault="00F033EB" w:rsidP="00F033E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033EB" w:rsidRDefault="00F033EB" w:rsidP="00F033E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p w:rsidR="0023436B" w:rsidRDefault="0023436B" w:rsidP="0023436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3260"/>
        <w:gridCol w:w="2835"/>
      </w:tblGrid>
      <w:tr w:rsidR="0023436B" w:rsidRPr="00060F40" w:rsidTr="00011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 xml:space="preserve">Планируемые результаты </w:t>
            </w:r>
            <w:proofErr w:type="gramStart"/>
            <w:r w:rsidRPr="00060F40">
              <w:t>обучения по дисциплине</w:t>
            </w:r>
            <w:proofErr w:type="gramEnd"/>
            <w:r w:rsidRPr="00060F40">
              <w:t>, характеризующие этапы формирования компетенций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36B" w:rsidRDefault="0023436B" w:rsidP="00011EC6">
            <w:pPr>
              <w:pStyle w:val="ReportMain"/>
              <w:suppressAutoHyphens/>
              <w:jc w:val="center"/>
            </w:pPr>
            <w:r w:rsidRPr="00060F40">
              <w:t>Виды оценочных средств/</w:t>
            </w:r>
          </w:p>
          <w:p w:rsidR="0023436B" w:rsidRPr="00060F40" w:rsidRDefault="0023436B" w:rsidP="00011EC6">
            <w:pPr>
              <w:pStyle w:val="ReportMain"/>
              <w:suppressAutoHyphens/>
              <w:jc w:val="center"/>
            </w:pPr>
            <w:r w:rsidRPr="00060F40">
              <w:t>шифр раздела в данном документе</w:t>
            </w:r>
          </w:p>
        </w:tc>
      </w:tr>
      <w:tr w:rsidR="0023436B" w:rsidRPr="00060F40" w:rsidTr="00011EC6">
        <w:tc>
          <w:tcPr>
            <w:tcW w:w="1843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ПК*-4: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</w:pPr>
            <w:r w:rsidRPr="00060F40">
              <w:t>ПК*-4-В-1</w:t>
            </w:r>
            <w:proofErr w:type="gramStart"/>
            <w:r w:rsidRPr="00060F40">
              <w:t xml:space="preserve"> С</w:t>
            </w:r>
            <w:proofErr w:type="gramEnd"/>
            <w:r w:rsidRPr="00060F40"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 w:rsidRPr="00060F40">
              <w:t>ПК*-4-В-2</w:t>
            </w:r>
            <w:proofErr w:type="gramStart"/>
            <w:r w:rsidRPr="00060F40">
              <w:t xml:space="preserve"> П</w:t>
            </w:r>
            <w:proofErr w:type="gramEnd"/>
            <w:r w:rsidRPr="00060F40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260" w:type="dxa"/>
            <w:shd w:val="clear" w:color="auto" w:fill="auto"/>
          </w:tcPr>
          <w:p w:rsidR="0023436B" w:rsidRPr="00BC76F7" w:rsidRDefault="00BC76F7" w:rsidP="00BC76F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тики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 в современных усл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виях; этапы бюджетного процесса в Ро</w:t>
            </w:r>
            <w:r w:rsidRPr="00E8441B">
              <w:rPr>
                <w:szCs w:val="24"/>
              </w:rPr>
              <w:t>с</w:t>
            </w:r>
            <w:r w:rsidRPr="00E8441B">
              <w:rPr>
                <w:szCs w:val="24"/>
              </w:rPr>
              <w:t>сийской Федерац</w:t>
            </w:r>
            <w:r>
              <w:rPr>
                <w:szCs w:val="24"/>
              </w:rPr>
              <w:t>ии и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мочия его участников.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23436B" w:rsidRDefault="0023436B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BC76F7" w:rsidRPr="00E8441B" w:rsidRDefault="00BC76F7" w:rsidP="00BC76F7">
            <w:pPr>
              <w:pStyle w:val="ReportMain"/>
              <w:suppressAutoHyphens/>
              <w:jc w:val="both"/>
              <w:rPr>
                <w:b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23436B" w:rsidRPr="00060F40" w:rsidRDefault="0023436B" w:rsidP="0023436B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3436B" w:rsidRPr="00060F40" w:rsidRDefault="00BC76F7" w:rsidP="0023436B">
            <w:pPr>
              <w:pStyle w:val="ReportMain"/>
              <w:suppressAutoHyphens/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  <w:tr w:rsidR="00011EC6" w:rsidRPr="00060F40" w:rsidTr="00011EC6">
        <w:tc>
          <w:tcPr>
            <w:tcW w:w="1843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ПК*-6: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</w:t>
            </w:r>
            <w:r>
              <w:lastRenderedPageBreak/>
              <w:t>хозяйственной деятельности бюджетных и автономных учреждений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ПК*-6-В-1</w:t>
            </w:r>
            <w:proofErr w:type="gramStart"/>
            <w:r w:rsidRPr="00060F40">
              <w:t xml:space="preserve"> П</w:t>
            </w:r>
            <w:proofErr w:type="gramEnd"/>
            <w:r w:rsidRPr="00060F40"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ПК*-6-В-2</w:t>
            </w:r>
            <w:proofErr w:type="gramStart"/>
            <w:r w:rsidRPr="00060F40">
              <w:t xml:space="preserve"> В</w:t>
            </w:r>
            <w:proofErr w:type="gramEnd"/>
            <w:r w:rsidRPr="00060F40"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ПК*-6-В-3</w:t>
            </w:r>
            <w:proofErr w:type="gramStart"/>
            <w:r w:rsidRPr="00060F40">
              <w:t xml:space="preserve"> Р</w:t>
            </w:r>
            <w:proofErr w:type="gramEnd"/>
            <w:r w:rsidRPr="00060F40"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ПК*-6-В-4</w:t>
            </w:r>
            <w:proofErr w:type="gramStart"/>
            <w:r w:rsidRPr="00060F40">
              <w:t xml:space="preserve"> В</w:t>
            </w:r>
            <w:proofErr w:type="gramEnd"/>
            <w:r w:rsidRPr="00060F40"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3260" w:type="dxa"/>
            <w:shd w:val="clear" w:color="auto" w:fill="auto"/>
          </w:tcPr>
          <w:p w:rsidR="00011EC6" w:rsidRPr="00060F40" w:rsidRDefault="00011EC6" w:rsidP="00011EC6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lastRenderedPageBreak/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рования бюджетов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системы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дерации, структуру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классификации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соде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жание и организацию межбюдже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ных отнош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ний в Российской Федерации; финансовые но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мативы сбалансирова</w:t>
            </w:r>
            <w:r w:rsidRPr="00E8441B">
              <w:rPr>
                <w:szCs w:val="24"/>
              </w:rPr>
              <w:t>н</w:t>
            </w:r>
            <w:r w:rsidRPr="00E8441B">
              <w:rPr>
                <w:szCs w:val="24"/>
              </w:rPr>
              <w:t>ности бюджетов в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дерации; основы планиров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и финансирования расх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дов государственных (мун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ципальных) учр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ждений;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011EC6" w:rsidRDefault="00011EC6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</w:t>
            </w:r>
            <w:r w:rsidRPr="00E8441B">
              <w:rPr>
                <w:szCs w:val="24"/>
              </w:rPr>
              <w:lastRenderedPageBreak/>
              <w:t xml:space="preserve">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</w:tbl>
    <w:p w:rsidR="0023436B" w:rsidRPr="00884519" w:rsidRDefault="0023436B" w:rsidP="00624808">
      <w:pPr>
        <w:rPr>
          <w:szCs w:val="24"/>
          <w:lang w:eastAsia="ru-RU"/>
        </w:rPr>
      </w:pPr>
    </w:p>
    <w:p w:rsid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Pr="001535CE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23436B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23436B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23436B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1A" w:rsidRDefault="00675C1A" w:rsidP="00A913D4">
      <w:pPr>
        <w:spacing w:after="0" w:line="240" w:lineRule="auto"/>
      </w:pPr>
      <w:r>
        <w:separator/>
      </w:r>
    </w:p>
  </w:endnote>
  <w:endnote w:type="continuationSeparator" w:id="0">
    <w:p w:rsidR="00675C1A" w:rsidRDefault="00675C1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B" w:rsidRDefault="002343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F42B0">
      <w:rPr>
        <w:noProof/>
      </w:rPr>
      <w:t>4</w:t>
    </w:r>
    <w:r>
      <w:rPr>
        <w:noProof/>
      </w:rPr>
      <w:fldChar w:fldCharType="end"/>
    </w:r>
  </w:p>
  <w:p w:rsidR="0023436B" w:rsidRDefault="0023436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1A" w:rsidRDefault="00675C1A" w:rsidP="00A913D4">
      <w:pPr>
        <w:spacing w:after="0" w:line="240" w:lineRule="auto"/>
      </w:pPr>
      <w:r>
        <w:separator/>
      </w:r>
    </w:p>
  </w:footnote>
  <w:footnote w:type="continuationSeparator" w:id="0">
    <w:p w:rsidR="00675C1A" w:rsidRDefault="00675C1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1EC6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436B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5C1A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E7231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C76F7"/>
    <w:rsid w:val="00BD21D1"/>
    <w:rsid w:val="00BD21FE"/>
    <w:rsid w:val="00BD3478"/>
    <w:rsid w:val="00BD7B67"/>
    <w:rsid w:val="00BE20C9"/>
    <w:rsid w:val="00BE3571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455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33EB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42B0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3821-6BA8-4E88-A97D-5DFF689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10415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69642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2021-11-24T07:43:00Z</dcterms:created>
  <dcterms:modified xsi:type="dcterms:W3CDTF">2021-11-24T07:43:00Z</dcterms:modified>
</cp:coreProperties>
</file>