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A" w:rsidRDefault="002947BA" w:rsidP="002947BA">
      <w:pPr>
        <w:pStyle w:val="ReportHead"/>
        <w:suppressAutoHyphens/>
        <w:rPr>
          <w:szCs w:val="28"/>
        </w:rPr>
      </w:pPr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2947BA" w:rsidRPr="002947BA" w:rsidRDefault="002947BA" w:rsidP="002947BA">
      <w:pPr>
        <w:pStyle w:val="ReportHead"/>
        <w:suppressAutoHyphens/>
        <w:rPr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7BA" w:rsidRDefault="002947BA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2947BA" w:rsidRDefault="002947BA" w:rsidP="002947B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</w:t>
      </w:r>
      <w:r w:rsidR="00C70337">
        <w:rPr>
          <w:i/>
          <w:sz w:val="24"/>
        </w:rPr>
        <w:t>В.9</w:t>
      </w:r>
      <w:bookmarkStart w:id="0" w:name="_GoBack"/>
      <w:bookmarkEnd w:id="0"/>
      <w:r>
        <w:rPr>
          <w:i/>
          <w:sz w:val="24"/>
        </w:rPr>
        <w:t xml:space="preserve"> Страхование»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133ABC">
        <w:rPr>
          <w:i/>
          <w:sz w:val="24"/>
          <w:u w:val="single"/>
        </w:rPr>
        <w:t>о-заочная</w:t>
      </w:r>
    </w:p>
    <w:p w:rsidR="002947BA" w:rsidRDefault="002947BA" w:rsidP="002947BA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  <w:sectPr w:rsidR="002947BA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133ABC">
        <w:rPr>
          <w:sz w:val="24"/>
        </w:rPr>
        <w:t>21</w:t>
      </w:r>
    </w:p>
    <w:p w:rsidR="002947BA" w:rsidRDefault="00AF3742" w:rsidP="002947BA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Страхование</w:t>
      </w:r>
      <w:proofErr w:type="gramStart"/>
      <w:r w:rsidR="005A1515" w:rsidRPr="0000650D">
        <w:rPr>
          <w:b w:val="0"/>
          <w:szCs w:val="28"/>
        </w:rPr>
        <w:t xml:space="preserve"> </w:t>
      </w:r>
      <w:r w:rsidR="005A1515">
        <w:rPr>
          <w:b w:val="0"/>
          <w:szCs w:val="28"/>
        </w:rPr>
        <w:t xml:space="preserve"> </w:t>
      </w:r>
      <w:r w:rsidR="005A1515" w:rsidRPr="0000650D">
        <w:rPr>
          <w:b w:val="0"/>
          <w:szCs w:val="28"/>
        </w:rPr>
        <w:t xml:space="preserve">   :</w:t>
      </w:r>
      <w:proofErr w:type="gramEnd"/>
      <w:r w:rsidR="005A1515" w:rsidRPr="0000650D">
        <w:rPr>
          <w:b w:val="0"/>
          <w:szCs w:val="28"/>
        </w:rPr>
        <w:t xml:space="preserve">    методические    указания     </w:t>
      </w:r>
      <w:r w:rsidR="005A1515">
        <w:rPr>
          <w:b w:val="0"/>
          <w:szCs w:val="28"/>
        </w:rPr>
        <w:t xml:space="preserve">для обучающихся по освоению </w:t>
      </w:r>
    </w:p>
    <w:p w:rsidR="005A1515" w:rsidRPr="0000650D" w:rsidRDefault="005A1515" w:rsidP="002947BA">
      <w:pPr>
        <w:pStyle w:val="af1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133ABC">
        <w:rPr>
          <w:b w:val="0"/>
          <w:szCs w:val="28"/>
        </w:rPr>
        <w:t>21</w:t>
      </w:r>
      <w:r w:rsidRPr="0000650D">
        <w:rPr>
          <w:b w:val="0"/>
          <w:szCs w:val="28"/>
        </w:rPr>
        <w:t xml:space="preserve">. </w:t>
      </w:r>
    </w:p>
    <w:p w:rsidR="005A1515" w:rsidRDefault="005A1515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FF0A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FF0A23" w:rsidRDefault="00FF0A23" w:rsidP="00FF0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133ABC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по дисциплине 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предназначены для студентов направления 38.03.01 Экономика, профил</w:t>
      </w:r>
      <w:r w:rsidR="005A15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 «Финанс</w:t>
      </w:r>
      <w:r w:rsidR="00133ABC">
        <w:rPr>
          <w:rFonts w:ascii="Times New Roman" w:hAnsi="Times New Roman"/>
          <w:sz w:val="28"/>
          <w:szCs w:val="28"/>
        </w:rPr>
        <w:t>ы и кредит»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0A23" w:rsidRPr="00151E90" w:rsidRDefault="00FF0A23" w:rsidP="00FF0A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Страхование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C045CF" w:rsidRDefault="00C045CF" w:rsidP="00C045CF">
      <w:pPr>
        <w:spacing w:line="240" w:lineRule="auto"/>
        <w:contextualSpacing/>
        <w:rPr>
          <w:lang w:eastAsia="en-US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D15C92" w:rsidTr="00876EE0">
        <w:tc>
          <w:tcPr>
            <w:tcW w:w="8990" w:type="dxa"/>
            <w:hideMark/>
          </w:tcPr>
          <w:bookmarkEnd w:id="2"/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B01FF">
              <w:rPr>
                <w:sz w:val="28"/>
                <w:szCs w:val="28"/>
              </w:rPr>
              <w:t xml:space="preserve">1 Методические указания по самостоятельной работе …………………. 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contextualSpacing/>
              <w:jc w:val="both"/>
              <w:rPr>
                <w:sz w:val="28"/>
                <w:szCs w:val="28"/>
              </w:rPr>
            </w:pPr>
            <w:r w:rsidRPr="006B01FF">
              <w:rPr>
                <w:rFonts w:ascii="Times New Roman"/>
                <w:sz w:val="28"/>
                <w:szCs w:val="28"/>
              </w:rPr>
              <w:t>2 Методические рекомендации по изучению дисциплины</w:t>
            </w:r>
            <w:r>
              <w:rPr>
                <w:rFonts w:ascii="Times New Roman"/>
                <w:sz w:val="28"/>
                <w:szCs w:val="28"/>
              </w:rPr>
              <w:t>……………….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6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tabs>
                <w:tab w:val="left" w:pos="8789"/>
              </w:tabs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>3 Методические указания по лекционным занятиям</w:t>
            </w:r>
            <w:r>
              <w:rPr>
                <w:rFonts w:asci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8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tabs>
                <w:tab w:val="left" w:pos="142"/>
              </w:tabs>
              <w:ind w:right="2"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bCs/>
                <w:sz w:val="28"/>
                <w:szCs w:val="28"/>
              </w:rPr>
              <w:t>4 Методические указания по практическим занятиям</w:t>
            </w:r>
            <w:r>
              <w:rPr>
                <w:rFonts w:ascii="Times New Roman"/>
                <w:bCs/>
                <w:sz w:val="28"/>
                <w:szCs w:val="28"/>
              </w:rPr>
              <w:t>……..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………………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D15C92" w:rsidTr="00876EE0">
        <w:tc>
          <w:tcPr>
            <w:tcW w:w="8990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 Методические указания по подготовке докладов и выступлений……..</w:t>
            </w:r>
          </w:p>
        </w:tc>
        <w:tc>
          <w:tcPr>
            <w:tcW w:w="757" w:type="dxa"/>
            <w:hideMark/>
          </w:tcPr>
          <w:p w:rsidR="00D15C92" w:rsidRDefault="00D15C92" w:rsidP="00133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133ABC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 xml:space="preserve">6 Методические </w:t>
            </w:r>
            <w:r>
              <w:rPr>
                <w:rFonts w:ascii="Times New Roman"/>
                <w:sz w:val="28"/>
                <w:szCs w:val="28"/>
              </w:rPr>
              <w:t>указания по промежуточной аттестации по дисциплине………………………………………………………………….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D15C92" w:rsidRPr="006B01FF" w:rsidRDefault="00133ABC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</w:tbl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Цель </w:t>
      </w:r>
      <w:r w:rsidR="00FF0A23"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Pr="005A1515">
        <w:rPr>
          <w:rFonts w:ascii="Times New Roman" w:hAnsi="Times New Roman" w:cs="Times New Roman"/>
          <w:sz w:val="28"/>
          <w:szCs w:val="28"/>
        </w:rPr>
        <w:t xml:space="preserve"> – помочь студентам и преподавателям в организации занятий при изучении дисциплины </w:t>
      </w:r>
      <w:r w:rsidR="00A4219C"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 w:rsidR="00A4219C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>.</w:t>
      </w:r>
    </w:p>
    <w:p w:rsidR="00C045CF" w:rsidRPr="005A1515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Студентам, прежде всего, необходимо ознакомиться с содержанием рабочей программы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F6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>
        <w:rPr>
          <w:rFonts w:ascii="Times New Roman" w:hAnsi="Times New Roman"/>
          <w:bCs/>
          <w:sz w:val="28"/>
          <w:szCs w:val="28"/>
        </w:rPr>
        <w:t xml:space="preserve">рабочей программе и  </w:t>
      </w:r>
      <w:r>
        <w:rPr>
          <w:rFonts w:ascii="Times New Roman" w:hAnsi="Times New Roman"/>
          <w:sz w:val="28"/>
          <w:szCs w:val="28"/>
        </w:rPr>
        <w:t xml:space="preserve">учебно-методических </w:t>
      </w:r>
      <w:r w:rsidRPr="005A1515">
        <w:rPr>
          <w:rFonts w:ascii="Times New Roman" w:hAnsi="Times New Roman" w:cs="Times New Roman"/>
          <w:sz w:val="28"/>
          <w:szCs w:val="28"/>
        </w:rPr>
        <w:t xml:space="preserve">разработках </w:t>
      </w:r>
      <w:r w:rsidRPr="005A1515">
        <w:rPr>
          <w:rFonts w:ascii="Times New Roman" w:hAnsi="Times New Roman" w:cs="Times New Roman"/>
          <w:bCs/>
          <w:sz w:val="28"/>
          <w:szCs w:val="28"/>
        </w:rPr>
        <w:t>определены формы самостоятельной работы студентов.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Задачи изучения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5A1515">
        <w:rPr>
          <w:rFonts w:ascii="Times New Roman" w:hAnsi="Times New Roman" w:cs="Times New Roman"/>
          <w:sz w:val="28"/>
          <w:szCs w:val="28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FF0A23" w:rsidRPr="00FF0A23" w:rsidRDefault="005A1515" w:rsidP="00FF0A23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F0A23">
        <w:rPr>
          <w:sz w:val="28"/>
          <w:szCs w:val="28"/>
        </w:rPr>
        <w:t xml:space="preserve">Цель освоения дисциплины: </w:t>
      </w:r>
      <w:r w:rsidR="00FF0A23" w:rsidRPr="00FF0A23">
        <w:rPr>
          <w:sz w:val="28"/>
          <w:szCs w:val="28"/>
        </w:rPr>
        <w:t>формирование у студентов целостных представлений о страховом бизнесе, нормах страхового законодательства, об отраслях страхования, их видов и навыков работы в страховых компаниях.</w:t>
      </w:r>
    </w:p>
    <w:p w:rsidR="00536D1F" w:rsidRDefault="00536D1F" w:rsidP="00FF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515">
        <w:rPr>
          <w:rFonts w:ascii="Times New Roman" w:hAnsi="Times New Roman" w:cs="Times New Roman"/>
          <w:bCs/>
          <w:sz w:val="28"/>
          <w:szCs w:val="28"/>
        </w:rPr>
        <w:t>Наряду с рекомендуемыми в рабочей программе формами</w:t>
      </w:r>
      <w:r>
        <w:rPr>
          <w:rFonts w:ascii="Times New Roman" w:hAnsi="Times New Roman"/>
          <w:bCs/>
          <w:sz w:val="28"/>
          <w:szCs w:val="28"/>
        </w:rPr>
        <w:t xml:space="preserve">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Pr="00AD4757" w:rsidRDefault="00FF0A23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757">
        <w:rPr>
          <w:rFonts w:ascii="Times New Roman" w:hAnsi="Times New Roman"/>
          <w:b/>
          <w:sz w:val="28"/>
          <w:szCs w:val="28"/>
        </w:rPr>
        <w:lastRenderedPageBreak/>
        <w:t>1</w:t>
      </w:r>
      <w:r w:rsidR="00C045CF" w:rsidRPr="00AD4757">
        <w:rPr>
          <w:rFonts w:ascii="Times New Roman" w:hAnsi="Times New Roman"/>
          <w:b/>
          <w:sz w:val="28"/>
          <w:szCs w:val="28"/>
        </w:rPr>
        <w:t xml:space="preserve"> </w:t>
      </w:r>
      <w:r w:rsidRPr="00AD4757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>
        <w:rPr>
          <w:rFonts w:ascii="Times New Roman" w:hAnsi="Times New Roman"/>
          <w:bCs/>
          <w:sz w:val="28"/>
          <w:szCs w:val="28"/>
        </w:rPr>
        <w:t xml:space="preserve">Согласно Положению об организации самостоятельной работы студентов на основании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    </w:t>
      </w:r>
      <w:r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выступлению 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>
        <w:rPr>
          <w:rFonts w:ascii="Times New Roman" w:hAnsi="Times New Roman"/>
          <w:bCs/>
          <w:i/>
          <w:iCs/>
          <w:sz w:val="28"/>
          <w:szCs w:val="28"/>
        </w:rPr>
        <w:t>, </w:t>
      </w:r>
      <w:r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>
        <w:rPr>
          <w:rFonts w:ascii="Times New Roman" w:hAnsi="Times New Roman"/>
          <w:bCs/>
          <w:sz w:val="28"/>
          <w:szCs w:val="28"/>
        </w:rPr>
        <w:t xml:space="preserve"> моделирование разных видов компонентов  профессиональной деятельности,</w:t>
      </w:r>
    </w:p>
    <w:p w:rsidR="00C045CF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характер, учитывать специфику изучаемой учебной дисциплины, индивидуальные особенности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изучения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выделим следующие виды самостоятельной работы студентов: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конспектирования лекций,</w:t>
      </w:r>
      <w:r>
        <w:rPr>
          <w:bCs/>
          <w:sz w:val="28"/>
          <w:szCs w:val="28"/>
        </w:rPr>
        <w:t xml:space="preserve">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к практическим занятиям</w:t>
      </w:r>
      <w:r>
        <w:rPr>
          <w:bCs/>
          <w:sz w:val="28"/>
          <w:szCs w:val="28"/>
        </w:rPr>
        <w:t xml:space="preserve"> (устному опросу, письменному опросу, дискуссии, коллоквиуму, тестированию,  </w:t>
      </w:r>
      <w:r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>
        <w:rPr>
          <w:bCs/>
          <w:sz w:val="28"/>
          <w:szCs w:val="28"/>
        </w:rPr>
        <w:t>и др.),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рубежному контролю,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 решению задач,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информационных сообщений на заданные темы,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тезисов на конференции,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и написание рефератов,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и выполнение творческого задания</w:t>
      </w:r>
      <w:r w:rsidR="00FF0A23">
        <w:rPr>
          <w:bCs/>
          <w:sz w:val="28"/>
          <w:szCs w:val="28"/>
        </w:rPr>
        <w:t>.</w:t>
      </w:r>
    </w:p>
    <w:p w:rsidR="00C045CF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>
        <w:rPr>
          <w:rFonts w:ascii="Times New Roman" w:hAnsi="Times New Roman"/>
          <w:bCs/>
          <w:sz w:val="28"/>
          <w:szCs w:val="28"/>
        </w:rPr>
        <w:t>написание курсовых работ, в сфере образования и др</w:t>
      </w:r>
      <w:r>
        <w:rPr>
          <w:rFonts w:ascii="Times New Roman" w:hAnsi="Times New Roman"/>
          <w:sz w:val="28"/>
          <w:szCs w:val="28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>
        <w:rPr>
          <w:rFonts w:ascii="Times New Roman" w:hAnsi="Times New Roman"/>
          <w:bCs/>
          <w:sz w:val="28"/>
          <w:szCs w:val="28"/>
        </w:rPr>
        <w:t>подготовка  докладов, тезисов и информационных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сообщений</w:t>
      </w:r>
      <w:r>
        <w:rPr>
          <w:rFonts w:ascii="Times New Roman" w:hAnsi="Times New Roman"/>
          <w:sz w:val="28"/>
          <w:szCs w:val="28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>
        <w:rPr>
          <w:rFonts w:ascii="Times New Roman" w:hAnsi="Times New Roman"/>
          <w:bCs/>
          <w:sz w:val="28"/>
          <w:szCs w:val="28"/>
        </w:rPr>
        <w:t>выполнение творческого задания, подготовка и написание рефератов</w:t>
      </w:r>
      <w:r>
        <w:rPr>
          <w:rFonts w:ascii="Times New Roman" w:hAnsi="Times New Roman"/>
          <w:sz w:val="28"/>
          <w:szCs w:val="28"/>
        </w:rPr>
        <w:t>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FF0A23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5CF">
        <w:rPr>
          <w:rFonts w:ascii="Times New Roman" w:hAnsi="Times New Roman"/>
          <w:b/>
          <w:sz w:val="28"/>
          <w:szCs w:val="28"/>
        </w:rPr>
        <w:t xml:space="preserve"> Методические рекомендации по изучению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теоретической части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</w:t>
      </w:r>
      <w:r>
        <w:rPr>
          <w:rFonts w:ascii="Times New Roman" w:hAnsi="Times New Roman"/>
          <w:sz w:val="28"/>
          <w:szCs w:val="28"/>
        </w:rPr>
        <w:lastRenderedPageBreak/>
        <w:t>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1D7CCA">
        <w:rPr>
          <w:rFonts w:ascii="Times New Roman" w:hAnsi="Times New Roman"/>
          <w:sz w:val="28"/>
          <w:szCs w:val="28"/>
        </w:rPr>
        <w:t>Страхование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</w:t>
      </w:r>
      <w:r>
        <w:rPr>
          <w:rFonts w:ascii="Times New Roman" w:hAnsi="Times New Roman"/>
          <w:sz w:val="28"/>
          <w:szCs w:val="28"/>
        </w:rPr>
        <w:lastRenderedPageBreak/>
        <w:t xml:space="preserve">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реферата, контрольных и курсовых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Pr="00AD4757" w:rsidRDefault="00AD4757" w:rsidP="00AD47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4757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лекционным занятиям</w:t>
      </w:r>
    </w:p>
    <w:p w:rsidR="00AD4757" w:rsidRPr="00AD4757" w:rsidRDefault="00AD4757" w:rsidP="00AD475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sz w:val="28"/>
          <w:szCs w:val="28"/>
        </w:rPr>
        <w:t>Изучение дисциплины «Страхов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D4757">
        <w:rPr>
          <w:rFonts w:ascii="Times New Roman" w:hAnsi="Times New Roman" w:cs="Times New Roman"/>
          <w:sz w:val="28"/>
          <w:szCs w:val="28"/>
        </w:rPr>
        <w:t xml:space="preserve">» следует начать с проработки рабочей программы, особое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уделяя целям и задачам, структуре и содержанию курса.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Лектор должен сообщить название темы лекции, дать возможность слушателям записать его.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Конспектирование лекции – важный шаг в запоминании материала, поэтому конспект лекций необходимо иметь каждому студенту. Задача студента на лекции – одновременно слушать преподавателя, анализировать и конспектировать информацию. Важно не только внимательно слушать лектора, но и выделять наиболее важную информацию и сокращенно записывать ее. При этом одно и то же содержание фиксируется в сознании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четыре раза: во-первых, при самом слушании; во-вторых, когда выделяется главная мысль; в-третьих, когда подыскивается обобщающая фраза, и, наконец, при записи. Материал запоминается более полно, точно и прочно.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Хороший конспект – залог четких ответов на занятиях, хорошего выполнения устных опросов, самостоятельных и контрольных работ. Значимость конспектирования на лекционных занятиях несомненна. Проверено, что составление эффективного конспекта лекций может сократить в четыре раза время, необходимое для полного восстановления нужной информации. Для экономии времени, перед каждой лекцией необходимо внимательно прочитать материал предыдущей лекции, внести исправления, выделить важные аспекты изучаемого материала.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помогает не только лучше усваивать материал на лекции, он оказывается незаменим при подготовке к экзамену. Следовательно, студенту в дальнейшем важно уметь оформить конспект так, чтобы важные моменты страхового дела   были выделены, а главную информацию следует выделять в самостоятельные абзацы, фиксируя цветными маркерами. </w:t>
      </w:r>
      <w:r w:rsidRPr="00AD4757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необходимо излагать услышанный материал своими словами, выделять важные места в записях. А для этого необходимо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t>иметь поля для заметок,</w:t>
      </w:r>
      <w:r w:rsidRPr="00AD4757">
        <w:rPr>
          <w:rFonts w:ascii="Times New Roman" w:hAnsi="Times New Roman" w:cs="Times New Roman"/>
          <w:sz w:val="28"/>
          <w:szCs w:val="28"/>
        </w:rPr>
        <w:t xml:space="preserve"> когда что-то не понятно, необходимо записывать возникшие вопросы и задать их лектору в конце занятия. Необходимо также прорабатывать лекционный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сравнивая свои конспекты с конспектами других обучающихся, при этом дополняя и исправляя записи.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Необходимо,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AD4757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C045CF">
        <w:rPr>
          <w:b/>
          <w:bCs/>
          <w:sz w:val="28"/>
          <w:szCs w:val="28"/>
        </w:rPr>
        <w:t xml:space="preserve">Методические </w:t>
      </w:r>
      <w:r w:rsidR="00FF0A23">
        <w:rPr>
          <w:b/>
          <w:bCs/>
          <w:sz w:val="28"/>
          <w:szCs w:val="28"/>
        </w:rPr>
        <w:t>указания по</w:t>
      </w:r>
      <w:r w:rsidR="00C045CF">
        <w:rPr>
          <w:b/>
          <w:bCs/>
          <w:sz w:val="28"/>
          <w:szCs w:val="28"/>
        </w:rPr>
        <w:t xml:space="preserve">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Практические занятия являются одним из видов занятий при изучении курса дисциплины «Страхов</w:t>
      </w:r>
      <w:r>
        <w:rPr>
          <w:color w:val="000000"/>
          <w:sz w:val="28"/>
          <w:szCs w:val="28"/>
        </w:rPr>
        <w:t>ание</w:t>
      </w:r>
      <w:r w:rsidRPr="00757B34">
        <w:rPr>
          <w:color w:val="000000"/>
          <w:sz w:val="28"/>
          <w:szCs w:val="28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решение задач и проблемных ситуаций.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Задачей практического занятия является формирование у студентов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</w:t>
      </w:r>
      <w:r w:rsidRPr="00757B34">
        <w:rPr>
          <w:color w:val="000000"/>
          <w:sz w:val="28"/>
          <w:szCs w:val="28"/>
        </w:rPr>
        <w:lastRenderedPageBreak/>
        <w:t>первоисточников, повторение теоретического материала, решение проблемно-поисковых вопросов. В процессе подготовки к практическим занятиям студент учится: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самостоятельно работать с научной, учебной литературой, научными изданиями, справочниками;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 находить, отбирать и обобщать, анализировать информацию;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выступать перед аудиторией;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рационально усваивать категориальный аппарат.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Самоподготовка к практическим занятиям включает такие виды деятельности как: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самостоятельная проработка конспекта лекции, учебников, учебных пособий, учебно-методической литературы;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выступления с </w:t>
      </w:r>
      <w:r>
        <w:rPr>
          <w:color w:val="000000"/>
          <w:sz w:val="28"/>
          <w:szCs w:val="28"/>
        </w:rPr>
        <w:t>докладом</w:t>
      </w:r>
      <w:r w:rsidRPr="00757B34">
        <w:rPr>
          <w:color w:val="000000"/>
          <w:sz w:val="28"/>
          <w:szCs w:val="28"/>
        </w:rPr>
        <w:t>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подготовка к опросам, </w:t>
      </w:r>
      <w:r>
        <w:rPr>
          <w:color w:val="000000"/>
          <w:sz w:val="28"/>
          <w:szCs w:val="28"/>
        </w:rPr>
        <w:t xml:space="preserve">к рубежному контролю, </w:t>
      </w:r>
      <w:r w:rsidRPr="00757B34">
        <w:rPr>
          <w:color w:val="000000"/>
          <w:sz w:val="28"/>
          <w:szCs w:val="28"/>
        </w:rPr>
        <w:t>экзамену.</w:t>
      </w:r>
    </w:p>
    <w:p w:rsidR="00C045CF" w:rsidRDefault="00C045CF" w:rsidP="00133ABC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133ABC" w:rsidRDefault="00133ABC" w:rsidP="00133ABC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3ABC" w:rsidRDefault="00133ABC" w:rsidP="00133ABC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Default="00D15C92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D4757">
        <w:rPr>
          <w:rFonts w:ascii="Times New Roman" w:hAnsi="Times New Roman"/>
          <w:b/>
          <w:sz w:val="28"/>
          <w:szCs w:val="28"/>
        </w:rPr>
        <w:t xml:space="preserve"> Методические </w:t>
      </w:r>
      <w:r>
        <w:rPr>
          <w:rFonts w:ascii="Times New Roman" w:hAnsi="Times New Roman"/>
          <w:b/>
          <w:sz w:val="28"/>
          <w:szCs w:val="28"/>
        </w:rPr>
        <w:t>указания</w:t>
      </w:r>
      <w:r w:rsidR="00AD4757">
        <w:rPr>
          <w:rFonts w:ascii="Times New Roman" w:hAnsi="Times New Roman"/>
          <w:b/>
          <w:sz w:val="28"/>
          <w:szCs w:val="28"/>
        </w:rPr>
        <w:t xml:space="preserve"> по подготовке докладов и выступлений</w:t>
      </w:r>
    </w:p>
    <w:p w:rsidR="00AD4757" w:rsidRDefault="00AD4757" w:rsidP="00AD47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3ABC" w:rsidRDefault="00133ABC" w:rsidP="00AD47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практическое занятие в зависимости от его формы и целей обычно имеет место следующая последовательность: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(доклад) по основному вопросу;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докладчика; 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преподавателя.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Разумеется, это лишь общая схема, которая может включать в себя развертывание дискуссии по возникшему вопросу и другие элементы.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«Страхование» 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</w:t>
      </w:r>
      <w:r>
        <w:rPr>
          <w:rFonts w:ascii="Times New Roman" w:hAnsi="Times New Roman"/>
          <w:sz w:val="28"/>
          <w:szCs w:val="28"/>
        </w:rPr>
        <w:lastRenderedPageBreak/>
        <w:t>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Важнейшие требования к выступлениям студентов – самостоятельность  в подборе фактического материала и аналитическом </w:t>
      </w:r>
      <w:r>
        <w:rPr>
          <w:rFonts w:ascii="Times New Roman" w:hAnsi="Times New Roman"/>
          <w:sz w:val="28"/>
          <w:szCs w:val="28"/>
        </w:rPr>
        <w:lastRenderedPageBreak/>
        <w:t>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являются редкостью и ставятся лишь в исключительных случаях.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</w:t>
      </w:r>
      <w:proofErr w:type="gramStart"/>
      <w:r>
        <w:rPr>
          <w:rFonts w:ascii="Times New Roman" w:hAnsi="Times New Roman"/>
          <w:sz w:val="28"/>
          <w:szCs w:val="28"/>
        </w:rPr>
        <w:t>освещена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  <w:proofErr w:type="gramEnd"/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</w:t>
      </w:r>
      <w:proofErr w:type="gramStart"/>
      <w:r>
        <w:rPr>
          <w:rFonts w:ascii="Times New Roman" w:hAnsi="Times New Roman"/>
          <w:sz w:val="28"/>
          <w:szCs w:val="28"/>
        </w:rPr>
        <w:t>истинную</w:t>
      </w:r>
      <w:proofErr w:type="gramEnd"/>
      <w:r>
        <w:rPr>
          <w:rFonts w:ascii="Times New Roman" w:hAnsi="Times New Roman"/>
          <w:sz w:val="28"/>
          <w:szCs w:val="28"/>
        </w:rPr>
        <w:t>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AD4757" w:rsidRDefault="00AD4757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3ABC" w:rsidRDefault="00133AB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Методические указания по промежуточной аттестации по дисциплине</w:t>
      </w:r>
    </w:p>
    <w:p w:rsidR="00133ABC" w:rsidRDefault="00133ABC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013D99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013D99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Экзамен по </w:t>
      </w:r>
      <w:r w:rsidR="00AD4757">
        <w:rPr>
          <w:rFonts w:ascii="Times New Roman" w:hAnsi="Times New Roman"/>
          <w:sz w:val="28"/>
          <w:szCs w:val="28"/>
        </w:rPr>
        <w:t>дисциплине «Страхование»</w:t>
      </w:r>
      <w:r w:rsidRPr="00013D99">
        <w:rPr>
          <w:rFonts w:ascii="Times New Roman" w:hAnsi="Times New Roman" w:cs="Times New Roman"/>
          <w:sz w:val="28"/>
          <w:szCs w:val="28"/>
        </w:rPr>
        <w:t xml:space="preserve"> преследует три основные функции - обучающую, воспитательную и оценивающую.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Обучающая функция реализуется в том, что испытуемый дополнительно повторяет материал, пройденный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 К экзаменам необходимо начинать готовиться с началом учебного процесса по данному курсу (с первой лекции, практического занятия и т.п.). При подготовке к экзамену следует, прежде всего, уделить особое внимание конспектам «живых» лекций, а уж затем учебникам, курсам лекций и другой подобной печатной продукции. </w:t>
      </w:r>
      <w:proofErr w:type="gramStart"/>
      <w:r w:rsidRPr="00013D99">
        <w:rPr>
          <w:rFonts w:ascii="Times New Roman" w:hAnsi="Times New Roman" w:cs="Times New Roman"/>
          <w:sz w:val="28"/>
          <w:szCs w:val="28"/>
        </w:rPr>
        <w:t xml:space="preserve">Дело в том, что «живые» лекции обладают рядом преимуществ: они более детальные, иллюстрированные и оперативные, позволяют оценивать современную ситуацию, отразить самую </w:t>
      </w:r>
      <w:r w:rsidRPr="00013D99">
        <w:rPr>
          <w:rFonts w:ascii="Times New Roman" w:hAnsi="Times New Roman" w:cs="Times New Roman"/>
          <w:sz w:val="28"/>
          <w:szCs w:val="28"/>
        </w:rPr>
        <w:lastRenderedPageBreak/>
        <w:t xml:space="preserve">«свежую» научную и нормативную информацию, ответить непосредственно на интересующие аудиторию в данный момент вопросы. </w:t>
      </w:r>
      <w:proofErr w:type="gramEnd"/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На экзамене преподаватель может задать студенту дополнительные и уточняющие вопросы. Если первые задаются помимо вопросов экзаменационного билета и связаны, как правило, с плохим ответом, то вторые - в рамках билета и направлены на уточнение мысли студента. Блестящий ответ на поставленный уточняющий вопрос лишь усиливает эффект общего ответа студента.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99">
        <w:rPr>
          <w:rFonts w:ascii="Times New Roman" w:hAnsi="Times New Roman" w:cs="Times New Roman"/>
          <w:sz w:val="28"/>
          <w:szCs w:val="28"/>
        </w:rPr>
        <w:t>Можно выделить следующие критерии, которыми обычно руководствуются преподаватели на экзамене, оценивая ответ студента: правильность ответов на вопросы (верное, четкое и достаточно глубокое изложение идей, понятий, фактов и т.д.); полнота и одновременно лаконичность ответа; новизна учебной информации, степень использования научных и нормативных источников; умение связывать теорию с практикой, творчески применять знания к неординарным ситуациям;</w:t>
      </w:r>
      <w:proofErr w:type="gramEnd"/>
      <w:r w:rsidRPr="00013D99">
        <w:rPr>
          <w:rFonts w:ascii="Times New Roman" w:hAnsi="Times New Roman" w:cs="Times New Roman"/>
          <w:sz w:val="28"/>
          <w:szCs w:val="28"/>
        </w:rPr>
        <w:t xml:space="preserve"> логика и аргументированность изложения; грамотное комментирование, использование примеров, аналогий; культура речи.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Воспитательная функция экзамена позволяет стимулировать развитие у студентов таких качеств, как трудолюбие, ответственное отношение к делу, самостоятельность.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>Оценивающая функция экзамена состоит в том, что он призван выявить полученных в результате изучения предмета знаний студента.</w:t>
      </w:r>
    </w:p>
    <w:p w:rsidR="00C045CF" w:rsidRDefault="00013D99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D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использованных источников</w:t>
      </w:r>
    </w:p>
    <w:p w:rsidR="00C045CF" w:rsidRDefault="00C045CF" w:rsidP="00C045CF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45CF" w:rsidRPr="00F6269C" w:rsidRDefault="00C045CF" w:rsidP="00C045C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1.  Письмо Минобразования РФ от 27 ноября 2002 года № 14-55-996 ин/15 «Об активизации самостоятельной работы студентов высших учебных заведений».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2. Положение о научно-исследовательской работе студентов ОГУ. Утверждено 26.06.2015, протокол № 50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3. Стандарты организаций. Общие положения. СТО 02069024.101–2015 РАБОТЫ СТУДЕНЧЕСКИЕ. Общие требования и правила оформления. Утвержден 28.12.2015 </w:t>
      </w:r>
    </w:p>
    <w:p w:rsidR="00C045CF" w:rsidRPr="00F6269C" w:rsidRDefault="00C045CF" w:rsidP="00D15C92">
      <w:pPr>
        <w:pStyle w:val="a9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right="2" w:firstLine="709"/>
        <w:jc w:val="both"/>
        <w:rPr>
          <w:sz w:val="28"/>
          <w:szCs w:val="28"/>
        </w:rPr>
      </w:pPr>
      <w:r w:rsidRPr="00F6269C">
        <w:rPr>
          <w:sz w:val="28"/>
          <w:szCs w:val="28"/>
        </w:rPr>
        <w:t xml:space="preserve">Розанова, Н.М. Научно-исследовательская работа студента. Учебно-практическое пособие / Н.М. </w:t>
      </w:r>
      <w:proofErr w:type="gramStart"/>
      <w:r w:rsidRPr="00F6269C">
        <w:rPr>
          <w:sz w:val="28"/>
          <w:szCs w:val="28"/>
        </w:rPr>
        <w:t>Розанова</w:t>
      </w:r>
      <w:proofErr w:type="gramEnd"/>
      <w:r w:rsidRPr="00F6269C">
        <w:rPr>
          <w:sz w:val="28"/>
          <w:szCs w:val="28"/>
        </w:rPr>
        <w:t xml:space="preserve">  – М.: Издательство: </w:t>
      </w:r>
      <w:proofErr w:type="spellStart"/>
      <w:r w:rsidRPr="00F6269C">
        <w:rPr>
          <w:sz w:val="28"/>
          <w:szCs w:val="28"/>
        </w:rPr>
        <w:t>Кнорус</w:t>
      </w:r>
      <w:proofErr w:type="spellEnd"/>
      <w:r w:rsidRPr="00F6269C">
        <w:rPr>
          <w:sz w:val="28"/>
          <w:szCs w:val="28"/>
        </w:rPr>
        <w:t>, 2016. — с. 256. ISBN: 978-5-406-05126-9</w:t>
      </w:r>
    </w:p>
    <w:p w:rsidR="001D7CCA" w:rsidRPr="00140B76" w:rsidRDefault="001D7CCA" w:rsidP="00D15C92">
      <w:pPr>
        <w:pStyle w:val="af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CCA">
        <w:rPr>
          <w:rFonts w:ascii="Times New Roman" w:hAnsi="Times New Roman" w:cs="Times New Roman"/>
          <w:bCs/>
          <w:sz w:val="28"/>
          <w:szCs w:val="28"/>
        </w:rPr>
        <w:t>Страхование. В 2 т. Т 1</w:t>
      </w:r>
      <w:r w:rsidRPr="001D7CCA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, 2015. - 382 с. - (Бакалавр.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 - ISBN 978-5-9916-4860-8 (т. 1). </w:t>
      </w:r>
    </w:p>
    <w:p w:rsidR="001D7CCA" w:rsidRDefault="001D7CCA" w:rsidP="00D15C92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bCs/>
          <w:sz w:val="28"/>
          <w:szCs w:val="28"/>
        </w:rPr>
        <w:t>Страхование. В 2 т. Т 2</w:t>
      </w:r>
      <w:r w:rsidRPr="00140B76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, 2015. - 488 с. - (Бакалавр.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 - ISBN 978-5-9916-4861-5 (т. 2). </w:t>
      </w:r>
    </w:p>
    <w:p w:rsidR="001D7CCA" w:rsidRPr="00140B76" w:rsidRDefault="00140B76" w:rsidP="00D15C92">
      <w:pPr>
        <w:pStyle w:val="af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sz w:val="28"/>
          <w:szCs w:val="28"/>
        </w:rPr>
        <w:t xml:space="preserve"> </w:t>
      </w:r>
      <w:r w:rsidR="001D7CCA" w:rsidRPr="00140B76">
        <w:rPr>
          <w:rFonts w:ascii="Times New Roman" w:hAnsi="Times New Roman" w:cs="Times New Roman"/>
          <w:sz w:val="28"/>
          <w:szCs w:val="28"/>
        </w:rPr>
        <w:t>Годин, А. М. Страхование: Учебник</w:t>
      </w:r>
      <w:r w:rsidR="001D7CCA" w:rsidRPr="00140B76">
        <w:rPr>
          <w:rFonts w:ascii="Times New Roman" w:eastAsia="Times New Roman" w:hAnsi="Times New Roman" w:cs="Times New Roman"/>
          <w:sz w:val="28"/>
          <w:szCs w:val="28"/>
        </w:rPr>
        <w:t xml:space="preserve"> [Электронный ресурс]  / А.М. Годин, С.Р. Демидов, С.В. Фрумина. – М.: Дашков и К, 2014. – 256 с. </w:t>
      </w:r>
      <w:r w:rsidR="001D7CCA" w:rsidRPr="00140B76">
        <w:rPr>
          <w:rFonts w:ascii="Times New Roman" w:hAnsi="Times New Roman" w:cs="Times New Roman"/>
          <w:sz w:val="28"/>
          <w:szCs w:val="28"/>
        </w:rPr>
        <w:t xml:space="preserve">ISBN: 978-5-394-02148-0.– Режим доступа:  </w:t>
      </w:r>
      <w:hyperlink r:id="rId10" w:history="1"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1D7CCA" w:rsidRPr="00140B76">
        <w:rPr>
          <w:rFonts w:ascii="Times New Roman" w:hAnsi="Times New Roman" w:cs="Times New Roman"/>
          <w:sz w:val="28"/>
          <w:szCs w:val="28"/>
        </w:rPr>
        <w:t>. e.lanbook.com.</w:t>
      </w:r>
    </w:p>
    <w:p w:rsidR="00DE6DE0" w:rsidRPr="00B94CED" w:rsidRDefault="00DE6DE0" w:rsidP="001D7CCA">
      <w:pPr>
        <w:pStyle w:val="Default"/>
        <w:contextualSpacing/>
        <w:jc w:val="both"/>
        <w:rPr>
          <w:sz w:val="28"/>
          <w:szCs w:val="28"/>
        </w:rPr>
      </w:pPr>
    </w:p>
    <w:sectPr w:rsidR="00DE6DE0" w:rsidRPr="00B94CED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CB" w:rsidRDefault="00A925CB" w:rsidP="00141F95">
      <w:pPr>
        <w:spacing w:after="0" w:line="240" w:lineRule="auto"/>
      </w:pPr>
      <w:r>
        <w:separator/>
      </w:r>
    </w:p>
  </w:endnote>
  <w:endnote w:type="continuationSeparator" w:id="0">
    <w:p w:rsidR="00A925CB" w:rsidRDefault="00A925CB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2947BA" w:rsidRPr="00E47ED0" w:rsidRDefault="002947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133ABC">
          <w:rPr>
            <w:rFonts w:ascii="Times New Roman" w:hAnsi="Times New Roman"/>
            <w:noProof/>
            <w:sz w:val="28"/>
            <w:szCs w:val="28"/>
          </w:rPr>
          <w:t>3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7BA" w:rsidRPr="00E47ED0" w:rsidRDefault="002947B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CB" w:rsidRDefault="00A925CB" w:rsidP="00141F95">
      <w:pPr>
        <w:spacing w:after="0" w:line="240" w:lineRule="auto"/>
      </w:pPr>
      <w:r>
        <w:separator/>
      </w:r>
    </w:p>
  </w:footnote>
  <w:footnote w:type="continuationSeparator" w:id="0">
    <w:p w:rsidR="00A925CB" w:rsidRDefault="00A925CB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BA" w:rsidRDefault="00294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E8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076883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94B91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85B17E6"/>
    <w:multiLevelType w:val="hybridMultilevel"/>
    <w:tmpl w:val="FCA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6C808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060B2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5E6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AD2053"/>
    <w:multiLevelType w:val="hybridMultilevel"/>
    <w:tmpl w:val="3D4E5E7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9B0D52"/>
    <w:multiLevelType w:val="hybridMultilevel"/>
    <w:tmpl w:val="CDE6AD24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13D99"/>
    <w:rsid w:val="00075F8E"/>
    <w:rsid w:val="000A6895"/>
    <w:rsid w:val="000F109D"/>
    <w:rsid w:val="00133ABC"/>
    <w:rsid w:val="00140B76"/>
    <w:rsid w:val="00141F95"/>
    <w:rsid w:val="00164ECA"/>
    <w:rsid w:val="001D7CCA"/>
    <w:rsid w:val="001E1188"/>
    <w:rsid w:val="00225E74"/>
    <w:rsid w:val="002947BA"/>
    <w:rsid w:val="002C3BB6"/>
    <w:rsid w:val="002D1A82"/>
    <w:rsid w:val="00317558"/>
    <w:rsid w:val="00320D7C"/>
    <w:rsid w:val="0032235B"/>
    <w:rsid w:val="003509FD"/>
    <w:rsid w:val="003655F6"/>
    <w:rsid w:val="003A5820"/>
    <w:rsid w:val="003E15F9"/>
    <w:rsid w:val="003F67E5"/>
    <w:rsid w:val="0042450B"/>
    <w:rsid w:val="00492CCB"/>
    <w:rsid w:val="004A6D16"/>
    <w:rsid w:val="004B3854"/>
    <w:rsid w:val="0050415B"/>
    <w:rsid w:val="00533C4A"/>
    <w:rsid w:val="00536D1F"/>
    <w:rsid w:val="0055202D"/>
    <w:rsid w:val="00567661"/>
    <w:rsid w:val="005A1515"/>
    <w:rsid w:val="005D4C48"/>
    <w:rsid w:val="00605F3A"/>
    <w:rsid w:val="006E630D"/>
    <w:rsid w:val="007058FE"/>
    <w:rsid w:val="007062C9"/>
    <w:rsid w:val="0072141B"/>
    <w:rsid w:val="00747EBA"/>
    <w:rsid w:val="00757B34"/>
    <w:rsid w:val="00763D99"/>
    <w:rsid w:val="007663DC"/>
    <w:rsid w:val="007B5E7B"/>
    <w:rsid w:val="00883996"/>
    <w:rsid w:val="008A0624"/>
    <w:rsid w:val="009C5EE6"/>
    <w:rsid w:val="00A4219C"/>
    <w:rsid w:val="00A925CB"/>
    <w:rsid w:val="00AC6AFD"/>
    <w:rsid w:val="00AD4757"/>
    <w:rsid w:val="00AF3742"/>
    <w:rsid w:val="00B06C65"/>
    <w:rsid w:val="00B24AE2"/>
    <w:rsid w:val="00B94CED"/>
    <w:rsid w:val="00BA74A0"/>
    <w:rsid w:val="00C045CF"/>
    <w:rsid w:val="00C2065F"/>
    <w:rsid w:val="00C3243A"/>
    <w:rsid w:val="00C34863"/>
    <w:rsid w:val="00C402A5"/>
    <w:rsid w:val="00C70337"/>
    <w:rsid w:val="00C84CB3"/>
    <w:rsid w:val="00CF30C6"/>
    <w:rsid w:val="00D15C92"/>
    <w:rsid w:val="00D2556C"/>
    <w:rsid w:val="00DE6DE0"/>
    <w:rsid w:val="00E94741"/>
    <w:rsid w:val="00EA1756"/>
    <w:rsid w:val="00EE64FD"/>
    <w:rsid w:val="00EF160C"/>
    <w:rsid w:val="00F6181E"/>
    <w:rsid w:val="00F6358A"/>
    <w:rsid w:val="00FE68A9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4</cp:revision>
  <cp:lastPrinted>2017-06-09T12:33:00Z</cp:lastPrinted>
  <dcterms:created xsi:type="dcterms:W3CDTF">2021-11-24T11:31:00Z</dcterms:created>
  <dcterms:modified xsi:type="dcterms:W3CDTF">2021-11-24T11:34:00Z</dcterms:modified>
</cp:coreProperties>
</file>