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964B8F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964B8F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64B8F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Педагогическое</w:t>
        </w:r>
      </w:hyperlink>
      <w:r w:rsidR="00D2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964B8F">
        <w:rPr>
          <w:u w:val="single"/>
        </w:rPr>
        <w:t>Н</w:t>
      </w:r>
      <w:r w:rsidRPr="00FB20F8">
        <w:rPr>
          <w:u w:val="single"/>
        </w:rPr>
        <w:t xml:space="preserve">.В. </w:t>
      </w:r>
      <w:r w:rsidR="00964B8F">
        <w:rPr>
          <w:u w:val="single"/>
        </w:rPr>
        <w:t>Хомякова</w:t>
      </w:r>
      <w:bookmarkStart w:id="1" w:name="_GoBack"/>
      <w:bookmarkEnd w:id="1"/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Cs w:val="24"/>
              </w:rPr>
              <w:t>методиками и технологиями воспитания и развития духовно-нравственной личности воспитанника, навыками практического применения разнообразных методов по духовно-</w:t>
            </w:r>
            <w:r w:rsidRPr="00D248AA">
              <w:rPr>
                <w:rFonts w:ascii="Times New Roman" w:eastAsia="Calibri" w:hAnsi="Times New Roman" w:cs="Times New Roman"/>
                <w:szCs w:val="24"/>
              </w:rPr>
              <w:lastRenderedPageBreak/>
              <w:t>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D248AA" w:rsidP="00D248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статьи из журналов «Педагогика», «Вопросы психологии», «Философия», «Высшее образование в России», «Образование и наука», «Вестник 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7A206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танное на выяснение объема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нивший минимальный объем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8D" w:rsidRDefault="0069578D" w:rsidP="00B24C3E">
      <w:pPr>
        <w:spacing w:after="0" w:line="240" w:lineRule="auto"/>
      </w:pPr>
      <w:r>
        <w:separator/>
      </w:r>
    </w:p>
  </w:endnote>
  <w:endnote w:type="continuationSeparator" w:id="0">
    <w:p w:rsidR="0069578D" w:rsidRDefault="0069578D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B8F">
      <w:rPr>
        <w:rStyle w:val="a7"/>
        <w:noProof/>
      </w:rPr>
      <w:t>4</w: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8D" w:rsidRDefault="0069578D" w:rsidP="00B24C3E">
      <w:pPr>
        <w:spacing w:after="0" w:line="240" w:lineRule="auto"/>
      </w:pPr>
      <w:r>
        <w:separator/>
      </w:r>
    </w:p>
  </w:footnote>
  <w:footnote w:type="continuationSeparator" w:id="0">
    <w:p w:rsidR="0069578D" w:rsidRDefault="0069578D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208A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905F2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34A5"/>
    <w:rsid w:val="0069578D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206B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703D6"/>
    <w:rsid w:val="00885950"/>
    <w:rsid w:val="008F3EFE"/>
    <w:rsid w:val="00901067"/>
    <w:rsid w:val="00906124"/>
    <w:rsid w:val="00912F7D"/>
    <w:rsid w:val="00934194"/>
    <w:rsid w:val="00940A44"/>
    <w:rsid w:val="00943BBD"/>
    <w:rsid w:val="00964B8F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E6A1C"/>
    <w:rsid w:val="00EF0D45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4641-FE2F-4356-837B-1E725477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6227</Words>
  <Characters>35496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62</cp:revision>
  <dcterms:created xsi:type="dcterms:W3CDTF">2016-08-25T17:04:00Z</dcterms:created>
  <dcterms:modified xsi:type="dcterms:W3CDTF">2021-11-24T16:57:00Z</dcterms:modified>
</cp:coreProperties>
</file>