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 xml:space="preserve">Министерство </w:t>
      </w:r>
      <w:r w:rsidR="00D9768E" w:rsidRPr="00977133">
        <w:rPr>
          <w:szCs w:val="28"/>
        </w:rPr>
        <w:t>науки</w:t>
      </w:r>
      <w:r w:rsidR="00D9768E" w:rsidRPr="00D55040">
        <w:rPr>
          <w:szCs w:val="28"/>
        </w:rPr>
        <w:t xml:space="preserve"> </w:t>
      </w:r>
      <w:r w:rsidR="00977133">
        <w:rPr>
          <w:szCs w:val="28"/>
        </w:rPr>
        <w:t xml:space="preserve">и </w:t>
      </w:r>
      <w:r w:rsidR="00D9768E">
        <w:rPr>
          <w:szCs w:val="28"/>
        </w:rPr>
        <w:t xml:space="preserve">высшего </w:t>
      </w:r>
      <w:r w:rsidR="00D9768E" w:rsidRPr="00D55040">
        <w:rPr>
          <w:szCs w:val="28"/>
        </w:rPr>
        <w:t xml:space="preserve">образования </w:t>
      </w:r>
      <w:r w:rsidRPr="00D55040"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4A66AA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4A66AA">
        <w:rPr>
          <w:sz w:val="32"/>
          <w:szCs w:val="28"/>
        </w:rPr>
        <w:t>«</w:t>
      </w:r>
      <w:r w:rsidR="00B970DD" w:rsidRPr="00B970DD">
        <w:rPr>
          <w:sz w:val="32"/>
        </w:rPr>
        <w:t>Б.1.В.ОД.11 Этология</w:t>
      </w:r>
      <w:r w:rsidRPr="004A66AA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D13BFB" w:rsidRPr="006454D5" w:rsidRDefault="00D13BFB" w:rsidP="00D13BFB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3BFB" w:rsidRPr="006454D5" w:rsidRDefault="00D13BFB" w:rsidP="00D13BFB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3BFB" w:rsidRPr="006454D5" w:rsidRDefault="00D13BFB" w:rsidP="00D13BFB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D13BFB" w:rsidRDefault="00D13BFB" w:rsidP="00D13BFB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D13BFB" w:rsidRPr="00014581" w:rsidRDefault="00D13BFB" w:rsidP="00D13BFB">
      <w:pPr>
        <w:pStyle w:val="ReportHead"/>
        <w:keepNext/>
        <w:keepLines/>
        <w:rPr>
          <w:vertAlign w:val="superscript"/>
        </w:rPr>
      </w:pP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3BFB" w:rsidRPr="00610F0E" w:rsidRDefault="00D13BFB" w:rsidP="00D13BFB">
      <w:pPr>
        <w:pStyle w:val="ReportHead"/>
        <w:suppressAutoHyphens/>
        <w:rPr>
          <w:i/>
          <w:sz w:val="36"/>
          <w:szCs w:val="36"/>
          <w:u w:val="single"/>
        </w:rPr>
      </w:pP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академическогобакалавриата</w:t>
      </w:r>
    </w:p>
    <w:p w:rsidR="00D13BFB" w:rsidRPr="00610F0E" w:rsidRDefault="00D13BFB" w:rsidP="00D13BFB">
      <w:pPr>
        <w:pStyle w:val="ReportHead"/>
        <w:suppressAutoHyphens/>
        <w:rPr>
          <w:sz w:val="36"/>
          <w:szCs w:val="36"/>
        </w:rPr>
      </w:pP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3BFB" w:rsidRPr="006454D5" w:rsidRDefault="00D13BFB" w:rsidP="00D13BFB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D13BFB" w:rsidRDefault="00CB1609" w:rsidP="00D13BFB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9768E">
        <w:rPr>
          <w:szCs w:val="28"/>
        </w:rPr>
        <w:t>2020</w:t>
      </w:r>
    </w:p>
    <w:p w:rsidR="008D4D99" w:rsidRPr="006454D5" w:rsidRDefault="00402C8D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Этология</w:t>
      </w:r>
      <w:r w:rsidR="008D4D99" w:rsidRPr="006454D5">
        <w:rPr>
          <w:sz w:val="28"/>
          <w:szCs w:val="28"/>
        </w:rPr>
        <w:t>:</w:t>
      </w:r>
      <w:r w:rsidR="00701449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763DD3">
        <w:rPr>
          <w:sz w:val="28"/>
          <w:szCs w:val="28"/>
        </w:rPr>
        <w:t>М. А. Щебланова</w:t>
      </w:r>
      <w:r w:rsidR="005D4B29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</w:t>
      </w:r>
      <w:r w:rsidR="00701449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гуманитарно-технолог. ин-т (филиал) ГОУ ОГУ. – Бузулук : БГТИ (филиал) ОГУ, </w:t>
      </w:r>
      <w:r w:rsidR="00D9768E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  <w:r w:rsidR="00E666D2">
        <w:rPr>
          <w:sz w:val="28"/>
          <w:szCs w:val="28"/>
        </w:rPr>
        <w:t xml:space="preserve"> – </w:t>
      </w:r>
      <w:r w:rsidR="00CB1609">
        <w:rPr>
          <w:sz w:val="28"/>
          <w:szCs w:val="28"/>
        </w:rPr>
        <w:t>19</w:t>
      </w:r>
      <w:r w:rsidR="00E666D2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D9768E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ED2D70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B970DD" w:rsidRPr="00B970DD">
        <w:rPr>
          <w:rFonts w:ascii="Times New Roman" w:hAnsi="Times New Roman" w:cs="Times New Roman"/>
          <w:sz w:val="28"/>
        </w:rPr>
        <w:t>Б.1.В.ОД.11 Этология</w:t>
      </w:r>
      <w:r w:rsidRPr="00ED2D70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E666D2" w:rsidRDefault="0082553E" w:rsidP="00E666D2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35F29" w:rsidRPr="00D35F29" w:rsidRDefault="008629E4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D35F29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D35F2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35F2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003914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_Toc2003914 \h </w:instrText>
            </w:r>
            <w:r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B16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3F09B0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5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_Toc2003915 \h </w:instrText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B16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3F09B0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6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_Toc2003916 \h </w:instrText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B16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3F09B0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7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_Toc2003917 \h </w:instrText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B16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3F09B0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9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к практическим занятиям (семинарам)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_Toc2003919 \h </w:instrText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B16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3F09B0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1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CB160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указания по выполнению заданий творческого уровня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_Toc2003921 \h </w:instrText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B16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3F09B0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2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CB160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_Toc2003922 \h </w:instrText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B16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3F09B0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3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CB160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5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_Toc2003923 \h </w:instrText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B16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3F09B0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4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_Toc2003924 \h </w:instrText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B16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8629E4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610F0E" w:rsidRDefault="008629E4" w:rsidP="00D35F2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D35F2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2C1D" w:rsidRDefault="00F62C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B1609" w:rsidRDefault="00CB1609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20039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402C8D" w:rsidRDefault="00281AE0" w:rsidP="00610F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44501">
        <w:rPr>
          <w:color w:val="auto"/>
          <w:sz w:val="28"/>
          <w:szCs w:val="28"/>
        </w:rPr>
        <w:t>«</w:t>
      </w:r>
      <w:r w:rsidR="00402C8D">
        <w:rPr>
          <w:sz w:val="28"/>
        </w:rPr>
        <w:t>Этология</w:t>
      </w:r>
      <w:r w:rsidRPr="00644501">
        <w:rPr>
          <w:color w:val="auto"/>
          <w:sz w:val="28"/>
          <w:szCs w:val="28"/>
        </w:rPr>
        <w:t xml:space="preserve">» как дисциплина направлена </w:t>
      </w:r>
      <w:r w:rsidR="00874DCF">
        <w:rPr>
          <w:color w:val="auto"/>
          <w:sz w:val="28"/>
          <w:szCs w:val="28"/>
        </w:rPr>
        <w:t xml:space="preserve">на </w:t>
      </w:r>
      <w:r w:rsidR="00402C8D" w:rsidRPr="00402C8D">
        <w:rPr>
          <w:sz w:val="28"/>
          <w:szCs w:val="28"/>
        </w:rPr>
        <w:t>ознакомление</w:t>
      </w:r>
      <w:r w:rsidR="00CB1609">
        <w:rPr>
          <w:sz w:val="28"/>
          <w:szCs w:val="28"/>
        </w:rPr>
        <w:t xml:space="preserve"> </w:t>
      </w:r>
      <w:r w:rsidR="00402C8D" w:rsidRPr="00402C8D">
        <w:rPr>
          <w:sz w:val="28"/>
          <w:szCs w:val="28"/>
        </w:rPr>
        <w:t>студентов с совокупностью современных знаний о поведении животных, необходимых для понимания особенностей образа жизни животных и разработки проблем охраны животного мира и рационального природопользования, а также для познания человеком биологических корней его собственной психики и поведения</w:t>
      </w:r>
      <w:r w:rsidR="00E666D2" w:rsidRPr="00402C8D">
        <w:rPr>
          <w:sz w:val="28"/>
          <w:szCs w:val="28"/>
        </w:rPr>
        <w:t xml:space="preserve">.  </w:t>
      </w:r>
    </w:p>
    <w:p w:rsidR="00281AE0" w:rsidRPr="00644501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>
        <w:rPr>
          <w:rFonts w:ascii="Times New Roman" w:hAnsi="Times New Roman" w:cs="Times New Roman"/>
          <w:sz w:val="28"/>
          <w:szCs w:val="28"/>
        </w:rPr>
        <w:t>включена ввариативную часть</w:t>
      </w:r>
      <w:r w:rsidR="0082553E">
        <w:rPr>
          <w:rFonts w:ascii="Times New Roman" w:hAnsi="Times New Roman" w:cs="Times New Roman"/>
          <w:sz w:val="28"/>
          <w:szCs w:val="28"/>
        </w:rPr>
        <w:t xml:space="preserve"> блока Б1 «Обязательные д</w:t>
      </w:r>
      <w:r w:rsidRPr="00644501">
        <w:rPr>
          <w:rFonts w:ascii="Times New Roman" w:hAnsi="Times New Roman" w:cs="Times New Roman"/>
          <w:sz w:val="28"/>
          <w:szCs w:val="28"/>
        </w:rPr>
        <w:t>исциплины» учебного плана для студентов очно</w:t>
      </w:r>
      <w:r w:rsidR="00CB1609">
        <w:rPr>
          <w:rFonts w:ascii="Times New Roman" w:hAnsi="Times New Roman" w:cs="Times New Roman"/>
          <w:sz w:val="28"/>
          <w:szCs w:val="28"/>
        </w:rPr>
        <w:t xml:space="preserve">-заочной </w:t>
      </w:r>
      <w:r w:rsidR="00E815E4">
        <w:rPr>
          <w:rFonts w:ascii="Times New Roman" w:hAnsi="Times New Roman" w:cs="Times New Roman"/>
          <w:sz w:val="28"/>
          <w:szCs w:val="28"/>
        </w:rPr>
        <w:t>форм</w:t>
      </w:r>
      <w:r w:rsidR="00BD1978">
        <w:rPr>
          <w:rFonts w:ascii="Times New Roman" w:hAnsi="Times New Roman" w:cs="Times New Roman"/>
          <w:sz w:val="28"/>
          <w:szCs w:val="28"/>
        </w:rPr>
        <w:t>ы</w:t>
      </w:r>
      <w:r w:rsidR="00CB1609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>обучения направления подготовки 06.03.01 Биология. Успешное освоение данной дисциплины является необходимым фундаментом для</w:t>
      </w:r>
      <w:r w:rsidR="00402C8D">
        <w:rPr>
          <w:rFonts w:ascii="Times New Roman" w:hAnsi="Times New Roman" w:cs="Times New Roman"/>
          <w:sz w:val="28"/>
          <w:szCs w:val="28"/>
        </w:rPr>
        <w:t xml:space="preserve"> профессионального становления бакалавра</w:t>
      </w:r>
      <w:r w:rsidRPr="00644501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402C8D">
        <w:rPr>
          <w:rFonts w:ascii="Times New Roman" w:hAnsi="Times New Roman" w:cs="Times New Roman"/>
          <w:sz w:val="28"/>
        </w:rPr>
        <w:t>Этология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итоговому зачету.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2003915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402C8D">
        <w:rPr>
          <w:sz w:val="28"/>
        </w:rPr>
        <w:t>Этология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644501" w:rsidRPr="00CB1609" w:rsidRDefault="0082553E" w:rsidP="00CB1609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>- под</w:t>
      </w:r>
      <w:r w:rsidR="00CB1609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  <w:bookmarkStart w:id="5" w:name="_Toc534378141"/>
    </w:p>
    <w:p w:rsidR="00281AE0" w:rsidRPr="00610F0E" w:rsidRDefault="00281AE0" w:rsidP="0082553E">
      <w:pPr>
        <w:pStyle w:val="1"/>
        <w:rPr>
          <w:sz w:val="32"/>
        </w:rPr>
      </w:pPr>
      <w:bookmarkStart w:id="6" w:name="_Toc534396308"/>
      <w:bookmarkStart w:id="7" w:name="_Toc2003916"/>
      <w:r w:rsidRPr="00610F0E">
        <w:rPr>
          <w:sz w:val="32"/>
        </w:rPr>
        <w:t>3 Методические рекомендации студентам</w:t>
      </w:r>
      <w:bookmarkEnd w:id="6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D2" w:rsidRPr="0082553E" w:rsidRDefault="00E666D2" w:rsidP="00E666D2">
      <w:pPr>
        <w:pStyle w:val="1"/>
        <w:spacing w:line="360" w:lineRule="auto"/>
        <w:ind w:left="0" w:firstLine="708"/>
      </w:pPr>
      <w:bookmarkStart w:id="8" w:name="_Toc534396309"/>
      <w:bookmarkStart w:id="9" w:name="_Toc2003917"/>
      <w:bookmarkStart w:id="10" w:name="_Toc536703846"/>
      <w:bookmarkStart w:id="11" w:name="_Toc292615"/>
      <w:bookmarkStart w:id="12" w:name="_Toc375867"/>
      <w:bookmarkStart w:id="13" w:name="_Toc387539"/>
      <w:bookmarkStart w:id="14" w:name="_Toc625715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bookmarkEnd w:id="10"/>
      <w:bookmarkEnd w:id="11"/>
      <w:bookmarkEnd w:id="12"/>
      <w:bookmarkEnd w:id="13"/>
      <w:bookmarkEnd w:id="14"/>
    </w:p>
    <w:p w:rsidR="00E666D2" w:rsidRPr="00D55040" w:rsidRDefault="00E666D2" w:rsidP="00E66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D2" w:rsidRDefault="00E666D2" w:rsidP="00E666D2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0343F">
        <w:rPr>
          <w:b/>
          <w:sz w:val="28"/>
          <w:szCs w:val="28"/>
        </w:rPr>
        <w:t>Проработка и повторение лекционного материала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</w:t>
      </w:r>
      <w:r w:rsidRPr="00D55040">
        <w:rPr>
          <w:color w:val="auto"/>
          <w:sz w:val="28"/>
          <w:szCs w:val="28"/>
        </w:rPr>
        <w:lastRenderedPageBreak/>
        <w:t xml:space="preserve">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E666D2" w:rsidRPr="002A70A8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2) </w:t>
      </w:r>
      <w:r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</w:t>
      </w:r>
      <w:r w:rsidRPr="00D55040">
        <w:rPr>
          <w:color w:val="auto"/>
          <w:sz w:val="28"/>
          <w:szCs w:val="28"/>
        </w:rPr>
        <w:lastRenderedPageBreak/>
        <w:t xml:space="preserve">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E666D2" w:rsidRPr="00D55040" w:rsidRDefault="00E666D2" w:rsidP="00E666D2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E666D2" w:rsidRPr="00D55040" w:rsidRDefault="00E666D2" w:rsidP="00E666D2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E666D2" w:rsidRPr="00D55040" w:rsidRDefault="00E666D2" w:rsidP="00E666D2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E666D2" w:rsidRPr="00D55040" w:rsidRDefault="00E666D2" w:rsidP="00E666D2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E666D2" w:rsidRPr="002A70A8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D5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составлению конспекта</w:t>
      </w:r>
    </w:p>
    <w:p w:rsidR="00E666D2" w:rsidRPr="00D55040" w:rsidRDefault="00E666D2" w:rsidP="00E666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E666D2" w:rsidRPr="00D55040" w:rsidRDefault="00E666D2" w:rsidP="00E666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E666D2" w:rsidRPr="00D55040" w:rsidRDefault="00E666D2" w:rsidP="00E666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E666D2" w:rsidRPr="00D55040" w:rsidRDefault="00E666D2" w:rsidP="00E666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E666D2" w:rsidRPr="00D55040" w:rsidRDefault="00E666D2" w:rsidP="00E666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666D2" w:rsidRPr="00D55040" w:rsidRDefault="00E666D2" w:rsidP="00E66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F29" w:rsidRPr="0082553E" w:rsidRDefault="00F62C1D" w:rsidP="00D35F29">
      <w:pPr>
        <w:pStyle w:val="1"/>
        <w:spacing w:line="360" w:lineRule="auto"/>
        <w:ind w:left="0" w:firstLine="709"/>
      </w:pPr>
      <w:bookmarkStart w:id="15" w:name="_Toc2003919"/>
      <w:bookmarkStart w:id="16" w:name="_Toc534396310"/>
      <w:bookmarkStart w:id="17" w:name="_Toc536703847"/>
      <w:bookmarkStart w:id="18" w:name="_Toc292616"/>
      <w:bookmarkStart w:id="19" w:name="_Toc375868"/>
      <w:bookmarkStart w:id="20" w:name="_Toc387540"/>
      <w:bookmarkStart w:id="21" w:name="_Toc625716"/>
      <w:r>
        <w:t>3.2</w:t>
      </w:r>
      <w:r w:rsidR="00D35F29" w:rsidRPr="0082553E">
        <w:t xml:space="preserve"> Методические рекомендации по подготовке к практическим занятиям (семинарам)</w:t>
      </w:r>
      <w:bookmarkEnd w:id="15"/>
    </w:p>
    <w:p w:rsidR="00D35F29" w:rsidRPr="001C7D2F" w:rsidRDefault="00D35F29" w:rsidP="00D35F2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402C8D">
        <w:rPr>
          <w:rFonts w:ascii="Times New Roman" w:hAnsi="Times New Roman" w:cs="Times New Roman"/>
          <w:sz w:val="28"/>
        </w:rPr>
        <w:t>Этология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 и зачету.</w:t>
      </w:r>
    </w:p>
    <w:p w:rsidR="00D35F29" w:rsidRDefault="00D35F29" w:rsidP="00D35F2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 (семинарских) занятий</w:t>
      </w:r>
      <w:r w:rsidRPr="000557A0">
        <w:rPr>
          <w:sz w:val="28"/>
          <w:szCs w:val="28"/>
        </w:rPr>
        <w:t xml:space="preserve">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F62C1D" w:rsidRPr="00F62C1D" w:rsidRDefault="00F62C1D" w:rsidP="00F62C1D">
      <w:pPr>
        <w:pStyle w:val="1"/>
        <w:spacing w:before="0" w:after="0" w:line="360" w:lineRule="auto"/>
        <w:ind w:left="0" w:firstLine="708"/>
        <w:rPr>
          <w:rFonts w:cs="Times New Roman"/>
          <w:b w:val="0"/>
          <w:szCs w:val="28"/>
        </w:rPr>
      </w:pPr>
      <w:bookmarkStart w:id="22" w:name="_Toc2003920"/>
      <w:r w:rsidRPr="00F62C1D">
        <w:rPr>
          <w:rFonts w:cs="Times New Roman"/>
          <w:b w:val="0"/>
          <w:szCs w:val="28"/>
        </w:rPr>
        <w:t xml:space="preserve">Этология : Методические указания </w:t>
      </w:r>
      <w:r w:rsidRPr="00F62C1D">
        <w:rPr>
          <w:rFonts w:cs="Times New Roman"/>
          <w:b w:val="0"/>
          <w:color w:val="000000" w:themeColor="text1"/>
          <w:szCs w:val="28"/>
        </w:rPr>
        <w:t>к практическим (семинарским) занятиям</w:t>
      </w:r>
      <w:r w:rsidRPr="00F62C1D">
        <w:rPr>
          <w:rFonts w:cs="Times New Roman"/>
          <w:b w:val="0"/>
          <w:szCs w:val="28"/>
        </w:rPr>
        <w:t xml:space="preserve"> / сост.: М.  А. Щебланова ; Бузулукскийгуманитарно – технолог.ин-т (филиал) ОГУ – Бузулу</w:t>
      </w:r>
      <w:r w:rsidR="00E057D2">
        <w:rPr>
          <w:rFonts w:cs="Times New Roman"/>
          <w:b w:val="0"/>
          <w:szCs w:val="28"/>
        </w:rPr>
        <w:t>к: БГТИ (филиал) ОГУ, 2017. – 48</w:t>
      </w:r>
      <w:r w:rsidRPr="00F62C1D">
        <w:rPr>
          <w:rFonts w:cs="Times New Roman"/>
          <w:b w:val="0"/>
          <w:szCs w:val="28"/>
        </w:rPr>
        <w:t xml:space="preserve"> с.</w:t>
      </w:r>
    </w:p>
    <w:p w:rsidR="00D35F29" w:rsidRPr="006030D2" w:rsidRDefault="00CB1609" w:rsidP="00D35F29">
      <w:pPr>
        <w:pStyle w:val="1"/>
      </w:pPr>
      <w:bookmarkStart w:id="23" w:name="_Toc536703849"/>
      <w:bookmarkStart w:id="24" w:name="_Toc292618"/>
      <w:bookmarkStart w:id="25" w:name="_Toc375870"/>
      <w:bookmarkStart w:id="26" w:name="_Toc387542"/>
      <w:bookmarkStart w:id="27" w:name="_Toc625718"/>
      <w:bookmarkStart w:id="28" w:name="_Toc2003921"/>
      <w:bookmarkEnd w:id="22"/>
      <w:r>
        <w:t xml:space="preserve">3.3 </w:t>
      </w:r>
      <w:r w:rsidR="00D35F29" w:rsidRPr="006030D2">
        <w:t xml:space="preserve">Методические указания по </w:t>
      </w:r>
      <w:r w:rsidR="00D35F29">
        <w:t xml:space="preserve">выполнению заданий </w:t>
      </w:r>
      <w:r w:rsidR="00D35F29" w:rsidRPr="006030D2">
        <w:t xml:space="preserve">творческого </w:t>
      </w:r>
      <w:r w:rsidR="00D35F29">
        <w:t>уровня</w:t>
      </w:r>
      <w:bookmarkEnd w:id="23"/>
      <w:bookmarkEnd w:id="24"/>
      <w:bookmarkEnd w:id="25"/>
      <w:bookmarkEnd w:id="26"/>
      <w:bookmarkEnd w:id="27"/>
      <w:bookmarkEnd w:id="28"/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высокую степень самостоятельности;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35F29" w:rsidRDefault="00D9768E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5F29" w:rsidRPr="00FD276E">
        <w:rPr>
          <w:rFonts w:ascii="Times New Roman" w:hAnsi="Times New Roman" w:cs="Times New Roman"/>
          <w:sz w:val="28"/>
          <w:szCs w:val="28"/>
        </w:rPr>
        <w:t xml:space="preserve">Общее в разном – вычленение общего и отличного в разных системах. </w:t>
      </w:r>
    </w:p>
    <w:p w:rsidR="00D35F29" w:rsidRDefault="00D9768E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5F29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35F29" w:rsidRPr="006030D2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35F29" w:rsidRPr="006030D2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35F29" w:rsidRPr="00675F80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D35F29" w:rsidRPr="00281AE0" w:rsidRDefault="00D35F29" w:rsidP="00D35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6D2" w:rsidRPr="0082553E" w:rsidRDefault="00F62C1D" w:rsidP="00E666D2">
      <w:pPr>
        <w:pStyle w:val="1"/>
        <w:spacing w:line="360" w:lineRule="auto"/>
      </w:pPr>
      <w:bookmarkStart w:id="29" w:name="_Toc2003922"/>
      <w:r>
        <w:t>3.</w:t>
      </w:r>
      <w:r w:rsidR="00CB1609">
        <w:t>4</w:t>
      </w:r>
      <w:r w:rsidR="00E666D2" w:rsidRPr="0082553E">
        <w:t xml:space="preserve"> Методические рекомендации по подготовке докладов и выступлений</w:t>
      </w:r>
      <w:bookmarkEnd w:id="16"/>
      <w:bookmarkEnd w:id="17"/>
      <w:bookmarkEnd w:id="18"/>
      <w:bookmarkEnd w:id="19"/>
      <w:bookmarkEnd w:id="20"/>
      <w:bookmarkEnd w:id="21"/>
      <w:bookmarkEnd w:id="29"/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краткое перечисление рассматриваемых вопросов;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E666D2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E666D2" w:rsidRPr="0082553E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6D2" w:rsidRPr="0082553E" w:rsidRDefault="00F62C1D" w:rsidP="00E666D2">
      <w:pPr>
        <w:pStyle w:val="1"/>
        <w:spacing w:line="360" w:lineRule="auto"/>
      </w:pPr>
      <w:bookmarkStart w:id="30" w:name="_Toc536703848"/>
      <w:bookmarkStart w:id="31" w:name="_Toc292617"/>
      <w:bookmarkStart w:id="32" w:name="_Toc375869"/>
      <w:bookmarkStart w:id="33" w:name="_Toc387541"/>
      <w:bookmarkStart w:id="34" w:name="_Toc625717"/>
      <w:bookmarkStart w:id="35" w:name="_Toc2003923"/>
      <w:r>
        <w:t>3.</w:t>
      </w:r>
      <w:r w:rsidR="00CB1609">
        <w:t>5</w:t>
      </w:r>
      <w:r w:rsidR="00E666D2" w:rsidRPr="0082553E">
        <w:t xml:space="preserve"> Методические рекомендации по созданию презентаций</w:t>
      </w:r>
      <w:bookmarkEnd w:id="30"/>
      <w:bookmarkEnd w:id="31"/>
      <w:bookmarkEnd w:id="32"/>
      <w:bookmarkEnd w:id="33"/>
      <w:bookmarkEnd w:id="34"/>
      <w:bookmarkEnd w:id="35"/>
    </w:p>
    <w:p w:rsidR="00E666D2" w:rsidRPr="0082022C" w:rsidRDefault="00E666D2" w:rsidP="00E666D2">
      <w:pPr>
        <w:spacing w:after="0" w:line="360" w:lineRule="auto"/>
      </w:pP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lastRenderedPageBreak/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E666D2" w:rsidRPr="003808BE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795BCB" w:rsidRDefault="00281AE0" w:rsidP="002A70A8">
      <w:pPr>
        <w:pStyle w:val="1"/>
        <w:spacing w:line="360" w:lineRule="auto"/>
        <w:rPr>
          <w:sz w:val="32"/>
        </w:rPr>
      </w:pPr>
      <w:bookmarkStart w:id="36" w:name="_Toc534396314"/>
      <w:bookmarkStart w:id="37" w:name="_Toc2003924"/>
      <w:bookmarkEnd w:id="5"/>
      <w:r w:rsidRPr="00795BCB">
        <w:rPr>
          <w:sz w:val="32"/>
        </w:rPr>
        <w:t>4 Контроль и управление самостоятельной работой студентов</w:t>
      </w:r>
      <w:bookmarkEnd w:id="36"/>
      <w:bookmarkEnd w:id="37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402C8D">
        <w:rPr>
          <w:rFonts w:ascii="Times New Roman" w:hAnsi="Times New Roman" w:cs="Times New Roman"/>
          <w:sz w:val="28"/>
        </w:rPr>
        <w:t>Этология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текущий контроль осуществляется в ходе практических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зачет,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</w:t>
      </w:r>
      <w:r w:rsidR="0031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при выполнении практическихработ,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практической работе. </w:t>
      </w:r>
    </w:p>
    <w:p w:rsidR="00644501" w:rsidRPr="002D6466" w:rsidRDefault="0019189A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</w:t>
      </w:r>
      <w:bookmarkEnd w:id="38"/>
      <w:r w:rsidR="00CB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644501" w:rsidRPr="002D6466" w:rsidRDefault="00644501" w:rsidP="002A70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644501" w:rsidRPr="002D6466" w:rsidRDefault="00644501" w:rsidP="002A70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39" w:name="_Toc534396315"/>
      <w:bookmarkStart w:id="40" w:name="_Toc534403054"/>
      <w:bookmarkStart w:id="41" w:name="_Toc534660599"/>
      <w:bookmarkStart w:id="42" w:name="_Toc646122"/>
      <w:bookmarkStart w:id="43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9"/>
      <w:bookmarkEnd w:id="40"/>
      <w:bookmarkEnd w:id="41"/>
      <w:bookmarkEnd w:id="42"/>
      <w:bookmarkEnd w:id="43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lastRenderedPageBreak/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4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4501" w:rsidRPr="002D6466" w:rsidRDefault="00644501" w:rsidP="002A70A8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644501" w:rsidRPr="002D6466" w:rsidRDefault="00644501" w:rsidP="00416F1F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 w:rsidR="00795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644501" w:rsidRPr="002D6466" w:rsidRDefault="00416F1F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</w:t>
      </w:r>
      <w:r w:rsidR="00BD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44501" w:rsidRPr="002D6466" w:rsidRDefault="00644501" w:rsidP="002A70A8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="00644501"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44501"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644501"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="00644501"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44501"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44501"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644501" w:rsidRPr="00B30B0E" w:rsidRDefault="00BD3E79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="00644501"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644501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A63920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B0" w:rsidRDefault="003F09B0" w:rsidP="00FF0076">
      <w:pPr>
        <w:spacing w:after="0" w:line="240" w:lineRule="auto"/>
      </w:pPr>
      <w:r>
        <w:separator/>
      </w:r>
    </w:p>
  </w:endnote>
  <w:endnote w:type="continuationSeparator" w:id="0">
    <w:p w:rsidR="003F09B0" w:rsidRDefault="003F09B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231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3920" w:rsidRPr="00A63920" w:rsidRDefault="008629E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63920">
          <w:rPr>
            <w:rFonts w:ascii="Times New Roman" w:hAnsi="Times New Roman" w:cs="Times New Roman"/>
            <w:sz w:val="24"/>
          </w:rPr>
          <w:fldChar w:fldCharType="begin"/>
        </w:r>
        <w:r w:rsidR="00A63920" w:rsidRPr="00A63920">
          <w:rPr>
            <w:rFonts w:ascii="Times New Roman" w:hAnsi="Times New Roman" w:cs="Times New Roman"/>
            <w:sz w:val="24"/>
          </w:rPr>
          <w:instrText>PAGE   \* MERGEFORMAT</w:instrText>
        </w:r>
        <w:r w:rsidRPr="00A63920">
          <w:rPr>
            <w:rFonts w:ascii="Times New Roman" w:hAnsi="Times New Roman" w:cs="Times New Roman"/>
            <w:sz w:val="24"/>
          </w:rPr>
          <w:fldChar w:fldCharType="separate"/>
        </w:r>
        <w:r w:rsidR="00CB1609">
          <w:rPr>
            <w:rFonts w:ascii="Times New Roman" w:hAnsi="Times New Roman" w:cs="Times New Roman"/>
            <w:noProof/>
            <w:sz w:val="24"/>
          </w:rPr>
          <w:t>6</w:t>
        </w:r>
        <w:r w:rsidRPr="00A6392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20" w:rsidRDefault="00A63920">
    <w:pPr>
      <w:pStyle w:val="a4"/>
      <w:jc w:val="center"/>
    </w:pPr>
  </w:p>
  <w:p w:rsidR="00A63920" w:rsidRDefault="00A639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B0" w:rsidRDefault="003F09B0" w:rsidP="00FF0076">
      <w:pPr>
        <w:spacing w:after="0" w:line="240" w:lineRule="auto"/>
      </w:pPr>
      <w:r>
        <w:separator/>
      </w:r>
    </w:p>
  </w:footnote>
  <w:footnote w:type="continuationSeparator" w:id="0">
    <w:p w:rsidR="003F09B0" w:rsidRDefault="003F09B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3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74CB6"/>
    <w:rsid w:val="000B1CE8"/>
    <w:rsid w:val="000C6356"/>
    <w:rsid w:val="00101781"/>
    <w:rsid w:val="0014634D"/>
    <w:rsid w:val="0019189A"/>
    <w:rsid w:val="001D5F26"/>
    <w:rsid w:val="00231010"/>
    <w:rsid w:val="00233503"/>
    <w:rsid w:val="002477E3"/>
    <w:rsid w:val="002506E7"/>
    <w:rsid w:val="00254F1E"/>
    <w:rsid w:val="002555CA"/>
    <w:rsid w:val="00281AE0"/>
    <w:rsid w:val="002A70A8"/>
    <w:rsid w:val="002B7629"/>
    <w:rsid w:val="002D6C9C"/>
    <w:rsid w:val="002E18CB"/>
    <w:rsid w:val="002E7D03"/>
    <w:rsid w:val="002F5714"/>
    <w:rsid w:val="00313363"/>
    <w:rsid w:val="003260D6"/>
    <w:rsid w:val="00355893"/>
    <w:rsid w:val="003A4D73"/>
    <w:rsid w:val="003F09B0"/>
    <w:rsid w:val="00402C8D"/>
    <w:rsid w:val="00403C0A"/>
    <w:rsid w:val="00416F1F"/>
    <w:rsid w:val="00446EAC"/>
    <w:rsid w:val="004A5996"/>
    <w:rsid w:val="004A66AA"/>
    <w:rsid w:val="004D1E55"/>
    <w:rsid w:val="004D2C9E"/>
    <w:rsid w:val="0052442A"/>
    <w:rsid w:val="00553C6A"/>
    <w:rsid w:val="00574159"/>
    <w:rsid w:val="005A4C75"/>
    <w:rsid w:val="005D4B29"/>
    <w:rsid w:val="005D5474"/>
    <w:rsid w:val="00604D48"/>
    <w:rsid w:val="00610F0E"/>
    <w:rsid w:val="00644501"/>
    <w:rsid w:val="006454D5"/>
    <w:rsid w:val="006E4BF3"/>
    <w:rsid w:val="00701449"/>
    <w:rsid w:val="00733C5E"/>
    <w:rsid w:val="00763DD3"/>
    <w:rsid w:val="007716C5"/>
    <w:rsid w:val="00776351"/>
    <w:rsid w:val="00795BCB"/>
    <w:rsid w:val="0082553E"/>
    <w:rsid w:val="00832A3C"/>
    <w:rsid w:val="008533FE"/>
    <w:rsid w:val="008629E4"/>
    <w:rsid w:val="00874DCF"/>
    <w:rsid w:val="008B536A"/>
    <w:rsid w:val="008D4983"/>
    <w:rsid w:val="008D4D99"/>
    <w:rsid w:val="00977133"/>
    <w:rsid w:val="009838CD"/>
    <w:rsid w:val="0099363D"/>
    <w:rsid w:val="009B25D1"/>
    <w:rsid w:val="009C0237"/>
    <w:rsid w:val="00A14005"/>
    <w:rsid w:val="00A17897"/>
    <w:rsid w:val="00A63920"/>
    <w:rsid w:val="00B25585"/>
    <w:rsid w:val="00B34575"/>
    <w:rsid w:val="00B77218"/>
    <w:rsid w:val="00B81E60"/>
    <w:rsid w:val="00B970DD"/>
    <w:rsid w:val="00BA3757"/>
    <w:rsid w:val="00BD1978"/>
    <w:rsid w:val="00BD3E79"/>
    <w:rsid w:val="00C6132D"/>
    <w:rsid w:val="00C6514C"/>
    <w:rsid w:val="00CB1609"/>
    <w:rsid w:val="00CB2227"/>
    <w:rsid w:val="00CD3B7C"/>
    <w:rsid w:val="00D13BFB"/>
    <w:rsid w:val="00D15954"/>
    <w:rsid w:val="00D25B75"/>
    <w:rsid w:val="00D35F29"/>
    <w:rsid w:val="00D9768E"/>
    <w:rsid w:val="00DC3778"/>
    <w:rsid w:val="00E057D2"/>
    <w:rsid w:val="00E666D2"/>
    <w:rsid w:val="00E815E4"/>
    <w:rsid w:val="00E87CBE"/>
    <w:rsid w:val="00ED2D70"/>
    <w:rsid w:val="00EE4CC8"/>
    <w:rsid w:val="00F25DFA"/>
    <w:rsid w:val="00F62C1D"/>
    <w:rsid w:val="00F668F9"/>
    <w:rsid w:val="00FA6A91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B8B10-41DD-4D08-8B0A-7AAE8FCC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F499-19FB-4D25-9FF3-8834117A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19</Pages>
  <Words>3271</Words>
  <Characters>24868</Characters>
  <Application>Microsoft Office Word</Application>
  <DocSecurity>0</DocSecurity>
  <Lines>621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42</cp:revision>
  <cp:lastPrinted>2019-10-09T10:59:00Z</cp:lastPrinted>
  <dcterms:created xsi:type="dcterms:W3CDTF">2017-01-18T09:17:00Z</dcterms:created>
  <dcterms:modified xsi:type="dcterms:W3CDTF">2020-02-02T16:46:00Z</dcterms:modified>
</cp:coreProperties>
</file>