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9058E7" w:rsidRDefault="009058E7" w:rsidP="009058E7">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w:t>
      </w:r>
      <w:r w:rsidR="00254E96">
        <w:rPr>
          <w:sz w:val="24"/>
        </w:rPr>
        <w:t>20</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w:t>
      </w:r>
      <w:r w:rsidR="00254E96">
        <w:rPr>
          <w:b w:val="0"/>
          <w:szCs w:val="28"/>
        </w:rPr>
        <w:t>20</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bookmarkStart w:id="1" w:name="_GoBack"/>
      <w:bookmarkEnd w:id="1"/>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2.3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 xml:space="preserve">6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 xml:space="preserve">7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 xml:space="preserve">8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3</w:t>
      </w:r>
      <w:proofErr w:type="gramStart"/>
      <w:r>
        <w:rPr>
          <w:rStyle w:val="FontStyle49"/>
          <w:sz w:val="28"/>
          <w:szCs w:val="28"/>
        </w:rPr>
        <w:t xml:space="preserve"> </w:t>
      </w:r>
      <w:r w:rsidRPr="004A71BC">
        <w:rPr>
          <w:rStyle w:val="FontStyle49"/>
          <w:sz w:val="28"/>
          <w:szCs w:val="28"/>
        </w:rPr>
        <w:t>П</w:t>
      </w:r>
      <w:proofErr w:type="gramEnd"/>
      <w:r w:rsidRPr="004A71BC">
        <w:rPr>
          <w:rStyle w:val="FontStyle49"/>
          <w:sz w:val="28"/>
          <w:szCs w:val="28"/>
        </w:rPr>
        <w:t xml:space="preserve">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 xml:space="preserve">5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 xml:space="preserve">6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 xml:space="preserve">7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274328">
        <w:rPr>
          <w:rFonts w:ascii="Times New Roman" w:hAnsi="Times New Roman" w:cs="Times New Roman"/>
          <w:sz w:val="28"/>
          <w:szCs w:val="28"/>
        </w:rPr>
        <w:t xml:space="preserve"> З</w:t>
      </w:r>
      <w:proofErr w:type="gramEnd"/>
      <w:r w:rsidR="00274328">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2.3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464D59" w:rsidP="00464D59">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lastRenderedPageBreak/>
        <w:t>Тематика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программирования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макропрогнозирования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демографической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деятельности.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инновационно-технологического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машиностроительного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комплекса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роста.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Использование в прогнозировании и стратегическом планировании структуры экономики межотраслевого баланса и </w:t>
      </w:r>
      <w:proofErr w:type="spellStart"/>
      <w:r w:rsidRPr="00464D59">
        <w:rPr>
          <w:sz w:val="28"/>
          <w:szCs w:val="28"/>
        </w:rPr>
        <w:t>воспроизводственно</w:t>
      </w:r>
      <w:proofErr w:type="spellEnd"/>
      <w:r w:rsidRPr="00464D59">
        <w:rPr>
          <w:sz w:val="28"/>
          <w:szCs w:val="28"/>
        </w:rPr>
        <w:t>-цикличной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ресурсами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среды.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Прогнозирование и стратегическое </w:t>
      </w:r>
      <w:proofErr w:type="gramStart"/>
      <w:r w:rsidRPr="00464D59">
        <w:rPr>
          <w:sz w:val="28"/>
          <w:szCs w:val="28"/>
        </w:rPr>
        <w:t>планирование</w:t>
      </w:r>
      <w:proofErr w:type="gramEnd"/>
      <w:r w:rsidRPr="00464D59">
        <w:rPr>
          <w:sz w:val="28"/>
          <w:szCs w:val="28"/>
        </w:rPr>
        <w:t xml:space="preserve"> и программирование развития энергосырьевого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254E96">
          <w:rPr>
            <w:rFonts w:ascii="Times New Roman" w:hAnsi="Times New Roman"/>
            <w:noProof/>
            <w:sz w:val="28"/>
            <w:szCs w:val="28"/>
          </w:rPr>
          <w:t>17</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51E90"/>
    <w:rsid w:val="001D7CCA"/>
    <w:rsid w:val="001E1188"/>
    <w:rsid w:val="001E2EB4"/>
    <w:rsid w:val="00225E74"/>
    <w:rsid w:val="00227130"/>
    <w:rsid w:val="00251EE0"/>
    <w:rsid w:val="00254E96"/>
    <w:rsid w:val="00274328"/>
    <w:rsid w:val="00275673"/>
    <w:rsid w:val="002C3BB6"/>
    <w:rsid w:val="002D324F"/>
    <w:rsid w:val="00305135"/>
    <w:rsid w:val="00320D7C"/>
    <w:rsid w:val="0032235B"/>
    <w:rsid w:val="003509FD"/>
    <w:rsid w:val="003655F6"/>
    <w:rsid w:val="003A2569"/>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6F0CD5"/>
    <w:rsid w:val="007058FE"/>
    <w:rsid w:val="007062C9"/>
    <w:rsid w:val="007164FE"/>
    <w:rsid w:val="0072141B"/>
    <w:rsid w:val="00747EBA"/>
    <w:rsid w:val="00763D99"/>
    <w:rsid w:val="00765E02"/>
    <w:rsid w:val="007663DC"/>
    <w:rsid w:val="00832D0A"/>
    <w:rsid w:val="008425BB"/>
    <w:rsid w:val="00880681"/>
    <w:rsid w:val="00883996"/>
    <w:rsid w:val="008A0624"/>
    <w:rsid w:val="009058E7"/>
    <w:rsid w:val="00906FCC"/>
    <w:rsid w:val="009A5591"/>
    <w:rsid w:val="009B4AD6"/>
    <w:rsid w:val="009C5EE6"/>
    <w:rsid w:val="00A4219C"/>
    <w:rsid w:val="00A666BF"/>
    <w:rsid w:val="00AA5D9F"/>
    <w:rsid w:val="00AC6AFD"/>
    <w:rsid w:val="00AF3742"/>
    <w:rsid w:val="00B06C65"/>
    <w:rsid w:val="00B24AE2"/>
    <w:rsid w:val="00B72DF4"/>
    <w:rsid w:val="00B8111F"/>
    <w:rsid w:val="00B94CED"/>
    <w:rsid w:val="00BA74A0"/>
    <w:rsid w:val="00C045CF"/>
    <w:rsid w:val="00C2065F"/>
    <w:rsid w:val="00C3243A"/>
    <w:rsid w:val="00C34863"/>
    <w:rsid w:val="00C402A5"/>
    <w:rsid w:val="00C61E0B"/>
    <w:rsid w:val="00C84CB3"/>
    <w:rsid w:val="00D2556C"/>
    <w:rsid w:val="00D45DC2"/>
    <w:rsid w:val="00D92A78"/>
    <w:rsid w:val="00DD27F2"/>
    <w:rsid w:val="00DE1953"/>
    <w:rsid w:val="00DE6DE0"/>
    <w:rsid w:val="00E45246"/>
    <w:rsid w:val="00E74CF1"/>
    <w:rsid w:val="00ED1461"/>
    <w:rsid w:val="00EE64FD"/>
    <w:rsid w:val="00EF160C"/>
    <w:rsid w:val="00F002FC"/>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2020-01-22T17:10:00Z</dcterms:created>
  <dcterms:modified xsi:type="dcterms:W3CDTF">2020-01-22T17:10:00Z</dcterms:modified>
</cp:coreProperties>
</file>