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D044B3">
        <w:rPr>
          <w:sz w:val="24"/>
        </w:rPr>
        <w:t>9</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D044B3">
        <w:rPr>
          <w:b w:val="0"/>
          <w:sz w:val="24"/>
        </w:rPr>
        <w:t>9</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«___»______________201</w:t>
      </w:r>
      <w:r w:rsidR="00D044B3">
        <w:rPr>
          <w:rFonts w:ascii="Times New Roman" w:eastAsia="Times New Roman" w:hAnsi="Times New Roman" w:cs="Times New Roman"/>
          <w:sz w:val="24"/>
          <w:szCs w:val="24"/>
        </w:rPr>
        <w:t>9</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1"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1"/>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F810C8"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861D20">
              <w:rPr>
                <w:rFonts w:ascii="Times New Roman"/>
                <w:sz w:val="24"/>
                <w:szCs w:val="24"/>
                <w:lang w:eastAsia="en-US"/>
              </w:rPr>
              <w:t>4</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835E96" w:rsidRPr="002E733A" w:rsidTr="00835E96">
        <w:trPr>
          <w:tblHeader/>
        </w:trPr>
        <w:tc>
          <w:tcPr>
            <w:tcW w:w="1191" w:type="dxa"/>
            <w:shd w:val="clear" w:color="auto" w:fill="auto"/>
            <w:vAlign w:val="center"/>
          </w:tcPr>
          <w:p w:rsidR="00835E96" w:rsidRPr="002E733A" w:rsidRDefault="00835E96" w:rsidP="004119FC">
            <w:pPr>
              <w:pStyle w:val="ReportMain0"/>
              <w:suppressAutoHyphens/>
              <w:jc w:val="center"/>
            </w:pPr>
            <w:r w:rsidRPr="002E733A">
              <w:t>№ занятия</w:t>
            </w:r>
          </w:p>
        </w:tc>
        <w:tc>
          <w:tcPr>
            <w:tcW w:w="1134" w:type="dxa"/>
            <w:shd w:val="clear" w:color="auto" w:fill="auto"/>
            <w:vAlign w:val="center"/>
          </w:tcPr>
          <w:p w:rsidR="00835E96" w:rsidRPr="002E733A" w:rsidRDefault="00835E96" w:rsidP="004119FC">
            <w:pPr>
              <w:pStyle w:val="ReportMain0"/>
              <w:suppressAutoHyphens/>
              <w:jc w:val="center"/>
            </w:pPr>
            <w:r w:rsidRPr="002E733A">
              <w:t>№ раздела</w:t>
            </w:r>
          </w:p>
        </w:tc>
        <w:tc>
          <w:tcPr>
            <w:tcW w:w="5806" w:type="dxa"/>
            <w:shd w:val="clear" w:color="auto" w:fill="auto"/>
            <w:vAlign w:val="center"/>
          </w:tcPr>
          <w:p w:rsidR="00835E96" w:rsidRPr="002E733A" w:rsidRDefault="00835E96" w:rsidP="004119FC">
            <w:pPr>
              <w:pStyle w:val="ReportMain0"/>
              <w:suppressAutoHyphens/>
              <w:jc w:val="center"/>
            </w:pPr>
            <w:r w:rsidRPr="002E733A">
              <w:t>Тема</w:t>
            </w:r>
          </w:p>
        </w:tc>
        <w:tc>
          <w:tcPr>
            <w:tcW w:w="1315" w:type="dxa"/>
            <w:shd w:val="clear" w:color="auto" w:fill="auto"/>
            <w:vAlign w:val="center"/>
          </w:tcPr>
          <w:p w:rsidR="00835E96" w:rsidRPr="002E733A" w:rsidRDefault="00835E96" w:rsidP="004119FC">
            <w:pPr>
              <w:pStyle w:val="ReportMain0"/>
              <w:suppressAutoHyphens/>
              <w:jc w:val="center"/>
            </w:pPr>
            <w:r w:rsidRPr="002E733A">
              <w:t>Кол-во часов</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учреждений</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2</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Default="00835E96" w:rsidP="004119FC">
            <w:pPr>
              <w:pStyle w:val="TableParagraph"/>
              <w:tabs>
                <w:tab w:val="left" w:pos="3476"/>
              </w:tabs>
              <w:ind w:left="103" w:right="101"/>
              <w:rPr>
                <w:spacing w:val="-1"/>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p>
          <w:p w:rsidR="00835E96" w:rsidRPr="00B07875" w:rsidRDefault="00835E96" w:rsidP="004119FC">
            <w:pPr>
              <w:pStyle w:val="TableParagraph"/>
              <w:tabs>
                <w:tab w:val="left" w:pos="3476"/>
              </w:tabs>
              <w:ind w:left="103" w:right="101"/>
              <w:rPr>
                <w:sz w:val="24"/>
                <w:szCs w:val="24"/>
                <w:lang w:val="ru-RU"/>
              </w:rPr>
            </w:pPr>
            <w:r w:rsidRPr="00B07875">
              <w:rPr>
                <w:sz w:val="24"/>
                <w:szCs w:val="24"/>
                <w:lang w:val="ru-RU"/>
              </w:rPr>
              <w:t>государственных и муниципальных учреждений и особенности их организации</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3</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Основные источники финансовых ресурсов государственных и муниципальных учреждений и направления их использования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4,5</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6</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учреждениях</w:t>
            </w:r>
            <w:r w:rsidRPr="00B07875">
              <w:rPr>
                <w:sz w:val="24"/>
                <w:szCs w:val="24"/>
                <w:lang w:val="ru-RU"/>
              </w:rPr>
              <w:t xml:space="preserve"> </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7</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CD33C4" w:rsidRDefault="00835E96" w:rsidP="004119FC">
            <w:pPr>
              <w:pStyle w:val="TableParagraph"/>
              <w:ind w:left="103" w:right="359"/>
              <w:rPr>
                <w:sz w:val="24"/>
                <w:szCs w:val="24"/>
                <w:lang w:val="ru-RU"/>
              </w:rPr>
            </w:pPr>
            <w:r w:rsidRPr="00CD33C4">
              <w:rPr>
                <w:sz w:val="24"/>
                <w:szCs w:val="24"/>
                <w:lang w:val="ru-RU"/>
              </w:rPr>
              <w:t>Особенности финансирования в государственных (муниципальных) учреждениях</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8,9</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муниципальных учреждений в сфере образования</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10</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учреждений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11</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здравоохранения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c>
          <w:tcPr>
            <w:tcW w:w="1191" w:type="dxa"/>
            <w:shd w:val="clear" w:color="auto" w:fill="auto"/>
          </w:tcPr>
          <w:p w:rsidR="00835E96" w:rsidRPr="002E733A" w:rsidRDefault="00835E96" w:rsidP="004119FC">
            <w:pPr>
              <w:pStyle w:val="ReportMain0"/>
              <w:suppressAutoHyphens/>
              <w:jc w:val="center"/>
            </w:pPr>
            <w:r>
              <w:t>12,13</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 xml:space="preserve">овые основы деятельности учреждений управления, военной, правоохранительной и судебной систем РФ </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2E733A" w:rsidTr="00835E96">
        <w:tc>
          <w:tcPr>
            <w:tcW w:w="1191" w:type="dxa"/>
            <w:shd w:val="clear" w:color="auto" w:fill="auto"/>
          </w:tcPr>
          <w:p w:rsidR="00835E96" w:rsidRPr="002E733A" w:rsidRDefault="00835E96" w:rsidP="004119FC">
            <w:pPr>
              <w:pStyle w:val="ReportMain0"/>
              <w:suppressAutoHyphens/>
              <w:jc w:val="center"/>
            </w:pPr>
          </w:p>
        </w:tc>
        <w:tc>
          <w:tcPr>
            <w:tcW w:w="1134" w:type="dxa"/>
            <w:shd w:val="clear" w:color="auto" w:fill="auto"/>
          </w:tcPr>
          <w:p w:rsidR="00835E96" w:rsidRPr="002E733A" w:rsidRDefault="00835E96" w:rsidP="004119FC">
            <w:pPr>
              <w:pStyle w:val="ReportMain0"/>
              <w:suppressAutoHyphens/>
              <w:jc w:val="center"/>
            </w:pPr>
          </w:p>
        </w:tc>
        <w:tc>
          <w:tcPr>
            <w:tcW w:w="5806" w:type="dxa"/>
            <w:shd w:val="clear" w:color="auto" w:fill="auto"/>
          </w:tcPr>
          <w:p w:rsidR="00835E96" w:rsidRPr="002E733A" w:rsidRDefault="00835E96" w:rsidP="004119FC">
            <w:pPr>
              <w:pStyle w:val="ReportMain0"/>
              <w:suppressAutoHyphens/>
            </w:pPr>
            <w:r w:rsidRPr="002E733A">
              <w:t>Итого:</w:t>
            </w:r>
          </w:p>
        </w:tc>
        <w:tc>
          <w:tcPr>
            <w:tcW w:w="1315" w:type="dxa"/>
            <w:shd w:val="clear" w:color="auto" w:fill="auto"/>
          </w:tcPr>
          <w:p w:rsidR="00835E96" w:rsidRPr="002E733A" w:rsidRDefault="00835E96" w:rsidP="004119FC">
            <w:pPr>
              <w:pStyle w:val="ReportMain0"/>
              <w:suppressAutoHyphens/>
              <w:jc w:val="center"/>
            </w:pPr>
            <w:r w:rsidRPr="002E733A">
              <w:t>26</w:t>
            </w:r>
          </w:p>
        </w:tc>
      </w:tr>
    </w:tbl>
    <w:p w:rsidR="00835E96" w:rsidRDefault="00835E96"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w:t>
      </w:r>
      <w:r w:rsidRPr="00020296">
        <w:rPr>
          <w:sz w:val="24"/>
          <w:szCs w:val="24"/>
          <w:lang w:val="ru-RU"/>
        </w:rPr>
        <w:lastRenderedPageBreak/>
        <w:t xml:space="preserve">правового регулирования деятельности казенных, бюджетных и автономных учреждений 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3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4</w:t>
      </w:r>
      <w:r w:rsidR="00835E96">
        <w:rPr>
          <w:rFonts w:ascii="Times New Roman" w:hAnsi="Times New Roman" w:cs="Times New Roman"/>
          <w:b/>
          <w:sz w:val="24"/>
          <w:szCs w:val="24"/>
        </w:rPr>
        <w:t>-5</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е 6</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7</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8-9</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1</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2-</w:t>
      </w:r>
      <w:r w:rsidRPr="00020296">
        <w:rPr>
          <w:rFonts w:ascii="Times New Roman" w:hAnsi="Times New Roman" w:cs="Times New Roman"/>
          <w:b/>
          <w:sz w:val="24"/>
          <w:szCs w:val="24"/>
        </w:rPr>
        <w:t>1</w:t>
      </w:r>
      <w:r w:rsidR="00835E96">
        <w:rPr>
          <w:rFonts w:ascii="Times New Roman" w:hAnsi="Times New Roman" w:cs="Times New Roman"/>
          <w:b/>
          <w:sz w:val="24"/>
          <w:szCs w:val="24"/>
        </w:rPr>
        <w:t>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lastRenderedPageBreak/>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w:t>
      </w:r>
      <w:r w:rsidRPr="00F810C8">
        <w:rPr>
          <w:rFonts w:ascii="Times New Roman" w:hAnsi="Times New Roman" w:cs="Times New Roman"/>
          <w:color w:val="000000"/>
          <w:spacing w:val="-6"/>
          <w:sz w:val="24"/>
          <w:szCs w:val="24"/>
        </w:rPr>
        <w:lastRenderedPageBreak/>
        <w:t>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w:t>
      </w:r>
      <w:r w:rsidRPr="008E1442">
        <w:rPr>
          <w:sz w:val="24"/>
          <w:szCs w:val="24"/>
        </w:rPr>
        <w:t>й</w:t>
      </w:r>
      <w:r w:rsidRPr="008E1442">
        <w:rPr>
          <w:sz w:val="24"/>
          <w:szCs w:val="24"/>
        </w:rPr>
        <w:t>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w:t>
      </w:r>
      <w:r w:rsidRPr="008E1442">
        <w:rPr>
          <w:sz w:val="24"/>
          <w:szCs w:val="24"/>
        </w:rPr>
        <w:t>е</w:t>
      </w:r>
      <w:r w:rsidRPr="008E1442">
        <w:rPr>
          <w:sz w:val="24"/>
          <w:szCs w:val="24"/>
        </w:rPr>
        <w:t>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w:t>
      </w:r>
      <w:r w:rsidRPr="008E1442">
        <w:rPr>
          <w:sz w:val="24"/>
          <w:szCs w:val="24"/>
        </w:rPr>
        <w:t>ь</w:t>
      </w:r>
      <w:r w:rsidRPr="008E1442">
        <w:rPr>
          <w:sz w:val="24"/>
          <w:szCs w:val="24"/>
        </w:rPr>
        <w:t>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w:t>
      </w:r>
      <w:r w:rsidRPr="008E1442">
        <w:rPr>
          <w:sz w:val="24"/>
          <w:szCs w:val="24"/>
        </w:rPr>
        <w:t>о</w:t>
      </w:r>
      <w:r w:rsidRPr="008E1442">
        <w:rPr>
          <w:sz w:val="24"/>
          <w:szCs w:val="24"/>
        </w:rPr>
        <w:t>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w:t>
      </w:r>
      <w:r w:rsidRPr="008E1442">
        <w:rPr>
          <w:sz w:val="24"/>
          <w:szCs w:val="24"/>
        </w:rPr>
        <w:t>и</w:t>
      </w:r>
      <w:r w:rsidRPr="008E1442">
        <w:rPr>
          <w:sz w:val="24"/>
          <w:szCs w:val="24"/>
        </w:rPr>
        <w:t>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w:t>
      </w:r>
      <w:r w:rsidRPr="008E1442">
        <w:rPr>
          <w:sz w:val="24"/>
          <w:szCs w:val="24"/>
        </w:rPr>
        <w:t>о</w:t>
      </w:r>
      <w:r w:rsidRPr="008E1442">
        <w:rPr>
          <w:sz w:val="24"/>
          <w:szCs w:val="24"/>
        </w:rPr>
        <w:t>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w:t>
      </w:r>
      <w:r w:rsidRPr="008E1442">
        <w:rPr>
          <w:sz w:val="24"/>
          <w:szCs w:val="24"/>
        </w:rPr>
        <w:t>а</w:t>
      </w:r>
      <w:r w:rsidRPr="008E1442">
        <w:rPr>
          <w:sz w:val="24"/>
          <w:szCs w:val="24"/>
        </w:rPr>
        <w:t>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w:t>
      </w:r>
      <w:r w:rsidRPr="008E1442">
        <w:rPr>
          <w:sz w:val="24"/>
          <w:szCs w:val="24"/>
        </w:rPr>
        <w:t>о</w:t>
      </w:r>
      <w:r w:rsidRPr="008E1442">
        <w:rPr>
          <w:sz w:val="24"/>
          <w:szCs w:val="24"/>
        </w:rPr>
        <w:t>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w:t>
      </w:r>
      <w:r w:rsidRPr="008E1442">
        <w:rPr>
          <w:sz w:val="24"/>
          <w:szCs w:val="24"/>
        </w:rPr>
        <w:t>е</w:t>
      </w:r>
      <w:r w:rsidRPr="008E1442">
        <w:rPr>
          <w:sz w:val="24"/>
          <w:szCs w:val="24"/>
        </w:rPr>
        <w:t>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Порядок финансирования бюджетных учреждений через лицевые счета открытые в органах ка</w:t>
      </w:r>
      <w:r w:rsidRPr="008E1442">
        <w:rPr>
          <w:sz w:val="24"/>
          <w:szCs w:val="24"/>
        </w:rPr>
        <w:t>з</w:t>
      </w:r>
      <w:r w:rsidRPr="008E1442">
        <w:rPr>
          <w:sz w:val="24"/>
          <w:szCs w:val="24"/>
        </w:rPr>
        <w:t>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w:t>
      </w:r>
      <w:r w:rsidRPr="008E1442">
        <w:rPr>
          <w:sz w:val="24"/>
          <w:szCs w:val="24"/>
        </w:rPr>
        <w:t>ь</w:t>
      </w:r>
      <w:r w:rsidRPr="008E1442">
        <w:rPr>
          <w:sz w:val="24"/>
          <w:szCs w:val="24"/>
        </w:rPr>
        <w:t>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w:t>
      </w:r>
      <w:r w:rsidRPr="008E1442">
        <w:rPr>
          <w:sz w:val="24"/>
          <w:szCs w:val="24"/>
        </w:rPr>
        <w:t>е</w:t>
      </w:r>
      <w:r w:rsidRPr="008E1442">
        <w:rPr>
          <w:sz w:val="24"/>
          <w:szCs w:val="24"/>
        </w:rPr>
        <w:t>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w:t>
      </w:r>
      <w:r w:rsidRPr="008E1442">
        <w:rPr>
          <w:sz w:val="24"/>
          <w:szCs w:val="24"/>
        </w:rPr>
        <w:t>й</w:t>
      </w:r>
      <w:r w:rsidRPr="008E1442">
        <w:rPr>
          <w:sz w:val="24"/>
          <w:szCs w:val="24"/>
        </w:rPr>
        <w:t>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w:t>
      </w:r>
      <w:r w:rsidRPr="008E1442">
        <w:rPr>
          <w:sz w:val="24"/>
          <w:szCs w:val="24"/>
        </w:rPr>
        <w:t>е</w:t>
      </w:r>
      <w:r w:rsidRPr="008E1442">
        <w:rPr>
          <w:sz w:val="24"/>
          <w:szCs w:val="24"/>
        </w:rPr>
        <w:t>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w:t>
      </w:r>
      <w:r w:rsidRPr="008E1442">
        <w:rPr>
          <w:sz w:val="24"/>
          <w:szCs w:val="24"/>
        </w:rPr>
        <w:t>ь</w:t>
      </w:r>
      <w:r w:rsidRPr="008E1442">
        <w:rPr>
          <w:sz w:val="24"/>
          <w:szCs w:val="24"/>
        </w:rPr>
        <w:t>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w:t>
      </w:r>
      <w:r w:rsidRPr="008E1442">
        <w:rPr>
          <w:sz w:val="24"/>
          <w:szCs w:val="24"/>
        </w:rPr>
        <w:t>е</w:t>
      </w:r>
      <w:r w:rsidRPr="008E1442">
        <w:rPr>
          <w:sz w:val="24"/>
          <w:szCs w:val="24"/>
        </w:rPr>
        <w:t>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Планирование и финансирование расходов на законодательную власть в Российской Федер</w:t>
      </w:r>
      <w:r w:rsidRPr="008E1442">
        <w:rPr>
          <w:sz w:val="24"/>
          <w:szCs w:val="24"/>
        </w:rPr>
        <w:t>а</w:t>
      </w:r>
      <w:r w:rsidRPr="008E1442">
        <w:rPr>
          <w:sz w:val="24"/>
          <w:szCs w:val="24"/>
        </w:rPr>
        <w:t>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w:t>
      </w:r>
      <w:r w:rsidRPr="008E1442">
        <w:rPr>
          <w:sz w:val="24"/>
          <w:szCs w:val="24"/>
        </w:rPr>
        <w:t>а</w:t>
      </w:r>
      <w:r w:rsidRPr="008E1442">
        <w:rPr>
          <w:sz w:val="24"/>
          <w:szCs w:val="24"/>
        </w:rPr>
        <w:t>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w:t>
      </w:r>
      <w:r w:rsidRPr="008E1442">
        <w:rPr>
          <w:sz w:val="24"/>
          <w:szCs w:val="24"/>
        </w:rPr>
        <w:t>о</w:t>
      </w:r>
      <w:r w:rsidRPr="008E1442">
        <w:rPr>
          <w:sz w:val="24"/>
          <w:szCs w:val="24"/>
        </w:rPr>
        <w:t>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w:t>
      </w:r>
      <w:r w:rsidRPr="008E1442">
        <w:rPr>
          <w:sz w:val="24"/>
          <w:szCs w:val="24"/>
        </w:rPr>
        <w:t>е</w:t>
      </w:r>
      <w:r w:rsidRPr="008E1442">
        <w:rPr>
          <w:sz w:val="24"/>
          <w:szCs w:val="24"/>
        </w:rPr>
        <w:t>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w:t>
      </w:r>
      <w:r w:rsidRPr="008E1442">
        <w:rPr>
          <w:sz w:val="24"/>
          <w:szCs w:val="24"/>
        </w:rPr>
        <w:t>у</w:t>
      </w:r>
      <w:r w:rsidRPr="008E1442">
        <w:rPr>
          <w:sz w:val="24"/>
          <w:szCs w:val="24"/>
        </w:rPr>
        <w:t>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w:t>
      </w:r>
      <w:r w:rsidRPr="008E1442">
        <w:rPr>
          <w:sz w:val="24"/>
          <w:szCs w:val="24"/>
        </w:rPr>
        <w:t>д</w:t>
      </w:r>
      <w:r w:rsidRPr="008E1442">
        <w:rPr>
          <w:sz w:val="24"/>
          <w:szCs w:val="24"/>
        </w:rPr>
        <w:t>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bookmarkStart w:id="2" w:name="_GoBack"/>
      <w:bookmarkEnd w:id="2"/>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861D20">
          <w:rPr>
            <w:rFonts w:ascii="Times New Roman" w:hAnsi="Times New Roman"/>
            <w:noProof/>
            <w:sz w:val="28"/>
            <w:szCs w:val="28"/>
          </w:rPr>
          <w:t>17</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F73A2"/>
    <w:rsid w:val="00605F3A"/>
    <w:rsid w:val="00607072"/>
    <w:rsid w:val="0069792D"/>
    <w:rsid w:val="006E630D"/>
    <w:rsid w:val="007058FE"/>
    <w:rsid w:val="007062C9"/>
    <w:rsid w:val="0072141B"/>
    <w:rsid w:val="00747EBA"/>
    <w:rsid w:val="00757B34"/>
    <w:rsid w:val="00763D99"/>
    <w:rsid w:val="007663DC"/>
    <w:rsid w:val="007B5E7B"/>
    <w:rsid w:val="00835E96"/>
    <w:rsid w:val="00851363"/>
    <w:rsid w:val="00861D20"/>
    <w:rsid w:val="00883996"/>
    <w:rsid w:val="008A0624"/>
    <w:rsid w:val="009227A1"/>
    <w:rsid w:val="009C5EE6"/>
    <w:rsid w:val="00A4219C"/>
    <w:rsid w:val="00AC6AFD"/>
    <w:rsid w:val="00AD4757"/>
    <w:rsid w:val="00AF096A"/>
    <w:rsid w:val="00AF3742"/>
    <w:rsid w:val="00B06C65"/>
    <w:rsid w:val="00B24AE2"/>
    <w:rsid w:val="00B564CB"/>
    <w:rsid w:val="00B94CED"/>
    <w:rsid w:val="00BA74A0"/>
    <w:rsid w:val="00C045CF"/>
    <w:rsid w:val="00C06656"/>
    <w:rsid w:val="00C2065F"/>
    <w:rsid w:val="00C3243A"/>
    <w:rsid w:val="00C34863"/>
    <w:rsid w:val="00C402A5"/>
    <w:rsid w:val="00C84CB3"/>
    <w:rsid w:val="00CF30C6"/>
    <w:rsid w:val="00D044B3"/>
    <w:rsid w:val="00D06DD7"/>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2020-02-16T17:41:00Z</dcterms:created>
  <dcterms:modified xsi:type="dcterms:W3CDTF">2020-02-16T17:43:00Z</dcterms:modified>
</cp:coreProperties>
</file>