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B9" w:rsidRDefault="00414EB9" w:rsidP="00414E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414EB9"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414EB9">
        <w:rPr>
          <w:szCs w:val="28"/>
        </w:rPr>
        <w:t>2019</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w:t>
      </w:r>
      <w:r w:rsidR="008D4D99" w:rsidRPr="00CF198B">
        <w:rPr>
          <w:sz w:val="28"/>
          <w:szCs w:val="28"/>
        </w:rPr>
        <w:t xml:space="preserve">гуманитарно-технолог. ин-т (филиал) ОГУ. – Бузулук : БГТИ (филиал) ОГУ, </w:t>
      </w:r>
      <w:r w:rsidR="00414EB9">
        <w:rPr>
          <w:sz w:val="28"/>
          <w:szCs w:val="28"/>
        </w:rPr>
        <w:t>2019</w:t>
      </w:r>
      <w:r w:rsidR="008D4D99" w:rsidRPr="00CF198B">
        <w:rPr>
          <w:sz w:val="28"/>
          <w:szCs w:val="28"/>
        </w:rPr>
        <w:t>.</w:t>
      </w:r>
      <w:r w:rsidR="00E114EE">
        <w:rPr>
          <w:sz w:val="28"/>
          <w:szCs w:val="28"/>
        </w:rPr>
        <w:t xml:space="preserve"> – 1</w:t>
      </w:r>
      <w:r w:rsidR="007841AD">
        <w:rPr>
          <w:sz w:val="28"/>
          <w:szCs w:val="28"/>
        </w:rPr>
        <w:t>5</w:t>
      </w:r>
      <w:r w:rsidR="003808BE" w:rsidRPr="00CF198B">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14EB9">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57038D"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4D2D3F">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332C2" w:rsidRDefault="006332C2" w:rsidP="00281AE0">
      <w:pPr>
        <w:pStyle w:val="Default"/>
        <w:ind w:firstLine="709"/>
        <w:jc w:val="both"/>
        <w:rPr>
          <w:color w:val="auto"/>
          <w:sz w:val="28"/>
          <w:szCs w:val="28"/>
        </w:rPr>
      </w:pPr>
    </w:p>
    <w:p w:rsidR="006332C2" w:rsidRDefault="006332C2"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254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относится к </w:t>
      </w:r>
      <w:r w:rsidR="0084310B" w:rsidRPr="0084310B">
        <w:rPr>
          <w:sz w:val="28"/>
          <w:szCs w:val="28"/>
        </w:rPr>
        <w:t xml:space="preserve">дисциплинам по выбору вариативной части </w:t>
      </w:r>
      <w:r w:rsidR="00281AE0" w:rsidRPr="005E089E">
        <w:rPr>
          <w:sz w:val="28"/>
          <w:szCs w:val="28"/>
        </w:rPr>
        <w:t>учебного плана для студентов очно</w:t>
      </w:r>
      <w:r w:rsidR="00414EB9">
        <w:rPr>
          <w:sz w:val="28"/>
          <w:szCs w:val="28"/>
        </w:rPr>
        <w:t xml:space="preserve"> - заочной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14DD1">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7B43D7" w:rsidRDefault="0082553E" w:rsidP="007B43D7">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007B43D7">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E06496" w:rsidRDefault="00E06496" w:rsidP="00E06496">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D2D3F">
        <w:rPr>
          <w:color w:val="auto"/>
          <w:sz w:val="28"/>
          <w:szCs w:val="28"/>
        </w:rPr>
        <w:t>д</w:t>
      </w:r>
      <w:bookmarkStart w:id="13" w:name="_GoBack"/>
      <w:bookmarkEnd w:id="13"/>
      <w:r>
        <w:rPr>
          <w:color w:val="auto"/>
          <w:sz w:val="28"/>
          <w:szCs w:val="28"/>
        </w:rPr>
        <w:t xml:space="preserve">метные связи, выделяются наиболее актуальные проблемы и показываются способы их разрешения. </w:t>
      </w:r>
    </w:p>
    <w:p w:rsidR="00E06496" w:rsidRDefault="00E06496" w:rsidP="00E06496">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6332C2">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6332C2">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E06496" w:rsidRDefault="00E06496" w:rsidP="00E06496">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E06496" w:rsidRDefault="00E06496" w:rsidP="00E06496">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06496" w:rsidRDefault="00E06496" w:rsidP="00E06496">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06496" w:rsidRDefault="00E06496" w:rsidP="00E06496">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06496">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хозяйства </w:t>
      </w:r>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М. А. Щебланова. -  Бузулукский гуманитарно-</w:t>
      </w:r>
      <w:r w:rsidRPr="004329F5">
        <w:rPr>
          <w:sz w:val="28"/>
          <w:szCs w:val="28"/>
        </w:rPr>
        <w:t>технолог. ин-т (филиал) ОГУ. – Бузулук</w:t>
      </w:r>
      <w:r w:rsidR="005401D1">
        <w:rPr>
          <w:sz w:val="28"/>
          <w:szCs w:val="28"/>
        </w:rPr>
        <w:t xml:space="preserve"> : БГТИ (филиал) ОГУ, </w:t>
      </w:r>
      <w:r w:rsidR="00414EB9">
        <w:rPr>
          <w:sz w:val="28"/>
          <w:szCs w:val="28"/>
        </w:rPr>
        <w:t>2019</w:t>
      </w:r>
      <w:r w:rsidR="005401D1">
        <w:rPr>
          <w:sz w:val="28"/>
          <w:szCs w:val="28"/>
        </w:rPr>
        <w:t>. – 51</w:t>
      </w:r>
      <w:r w:rsidRPr="004329F5">
        <w:rPr>
          <w:sz w:val="28"/>
          <w:szCs w:val="28"/>
        </w:rPr>
        <w:t xml:space="preserve"> с.</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выполнению расчетно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Перечень 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 xml:space="preserve">сновы лесного хозяйства </w:t>
      </w:r>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Щебланова. -  Бузулукский гуманитарно-технолог. ин-т (филиал) ОГУ. – Бузулук</w:t>
      </w:r>
      <w:r w:rsidR="005401D1">
        <w:rPr>
          <w:rFonts w:cs="Times New Roman"/>
          <w:b w:val="0"/>
          <w:szCs w:val="28"/>
        </w:rPr>
        <w:t xml:space="preserve"> : БГТИ (филиал) ОГУ, </w:t>
      </w:r>
      <w:r w:rsidR="00414EB9">
        <w:rPr>
          <w:rFonts w:cs="Times New Roman"/>
          <w:b w:val="0"/>
          <w:szCs w:val="28"/>
        </w:rPr>
        <w:t>2019</w:t>
      </w:r>
      <w:r w:rsidR="005401D1">
        <w:rPr>
          <w:rFonts w:cs="Times New Roman"/>
          <w:b w:val="0"/>
          <w:szCs w:val="28"/>
        </w:rPr>
        <w:t>. – 51</w:t>
      </w:r>
      <w:r w:rsidRPr="008D59F8">
        <w:rPr>
          <w:rFonts w:cs="Times New Roman"/>
          <w:b w:val="0"/>
          <w:szCs w:val="28"/>
        </w:rPr>
        <w:t xml:space="preserve"> с.</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281AE0" w:rsidRPr="00E07E76" w:rsidRDefault="00281AE0" w:rsidP="002A70A8">
      <w:pPr>
        <w:pStyle w:val="1"/>
        <w:spacing w:line="360" w:lineRule="auto"/>
        <w:rPr>
          <w:sz w:val="32"/>
        </w:rPr>
      </w:pPr>
      <w:bookmarkStart w:id="25" w:name="_Toc534396314"/>
      <w:bookmarkStart w:id="26" w:name="_Toc15252553"/>
      <w:bookmarkEnd w:id="5"/>
      <w:bookmarkEnd w:id="10"/>
      <w:bookmarkEnd w:id="11"/>
      <w:bookmarkEnd w:id="12"/>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D59F8">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sidR="008D59F8">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0398" w:rsidRDefault="00090398" w:rsidP="00090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10B"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8" w:name="_Toc534660599"/>
      <w:bookmarkStart w:id="29" w:name="_Toc536535796"/>
      <w:bookmarkStart w:id="30" w:name="_Toc536640397"/>
      <w:bookmarkStart w:id="31" w:name="_Toc536703858"/>
    </w:p>
    <w:p w:rsidR="00090398" w:rsidRPr="00F177EB" w:rsidRDefault="00090398" w:rsidP="00090398">
      <w:pPr>
        <w:spacing w:after="0" w:line="360" w:lineRule="auto"/>
        <w:ind w:right="-1" w:firstLine="709"/>
        <w:jc w:val="both"/>
        <w:rPr>
          <w:rFonts w:ascii="Times New Roman" w:eastAsia="Times New Roman" w:hAnsi="Times New Roman" w:cs="Times New Roman"/>
          <w:sz w:val="28"/>
          <w:szCs w:val="28"/>
          <w:lang w:eastAsia="ru-RU"/>
        </w:rPr>
      </w:pPr>
    </w:p>
    <w:p w:rsidR="00090398" w:rsidRPr="002D6466" w:rsidRDefault="00090398" w:rsidP="00090398">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8"/>
      <w:bookmarkEnd w:id="29"/>
      <w:bookmarkEnd w:id="30"/>
      <w:bookmarkEnd w:id="3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«зачтено»</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«незачтено»</w:t>
            </w:r>
          </w:p>
        </w:tc>
      </w:tr>
    </w:tbl>
    <w:p w:rsidR="00090398" w:rsidRDefault="00090398" w:rsidP="00090398">
      <w:pPr>
        <w:spacing w:after="0" w:line="360" w:lineRule="auto"/>
        <w:ind w:right="-1"/>
        <w:jc w:val="both"/>
        <w:rPr>
          <w:rFonts w:ascii="Times New Roman" w:eastAsia="Times New Roman" w:hAnsi="Times New Roman" w:cs="Times New Roman"/>
          <w:sz w:val="28"/>
          <w:szCs w:val="28"/>
          <w:lang w:eastAsia="ru-RU"/>
        </w:rPr>
      </w:pP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90398" w:rsidRPr="0096693E"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0398" w:rsidRPr="00612B38" w:rsidRDefault="00090398" w:rsidP="00090398">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0398" w:rsidRPr="00612B38"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0398" w:rsidRPr="00316EE4"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612B38">
        <w:rPr>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0398" w:rsidRPr="00316EE4"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4310B" w:rsidRPr="002D6466" w:rsidRDefault="0084310B" w:rsidP="00090398">
      <w:pPr>
        <w:spacing w:after="0" w:line="360" w:lineRule="auto"/>
        <w:ind w:right="-1" w:firstLine="709"/>
        <w:jc w:val="both"/>
        <w:rPr>
          <w:rFonts w:ascii="Times New Roman" w:eastAsia="Times New Roman" w:hAnsi="Times New Roman" w:cs="Times New Roman"/>
          <w:b/>
          <w:bCs/>
          <w:sz w:val="28"/>
          <w:szCs w:val="28"/>
          <w:lang w:eastAsia="ru-RU"/>
        </w:rPr>
      </w:pPr>
    </w:p>
    <w:p w:rsidR="0084310B" w:rsidRPr="002D6466" w:rsidRDefault="0084310B" w:rsidP="0084310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4310B" w:rsidRPr="002D6466" w:rsidRDefault="0084310B" w:rsidP="0084310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4310B" w:rsidRPr="00B30B0E" w:rsidRDefault="0084310B" w:rsidP="0084310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8D" w:rsidRDefault="0057038D" w:rsidP="00FF0076">
      <w:pPr>
        <w:spacing w:after="0" w:line="240" w:lineRule="auto"/>
      </w:pPr>
      <w:r>
        <w:separator/>
      </w:r>
    </w:p>
  </w:endnote>
  <w:endnote w:type="continuationSeparator" w:id="0">
    <w:p w:rsidR="0057038D" w:rsidRDefault="0057038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D2D3F">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8D" w:rsidRDefault="0057038D" w:rsidP="00FF0076">
      <w:pPr>
        <w:spacing w:after="0" w:line="240" w:lineRule="auto"/>
      </w:pPr>
      <w:r>
        <w:separator/>
      </w:r>
    </w:p>
  </w:footnote>
  <w:footnote w:type="continuationSeparator" w:id="0">
    <w:p w:rsidR="0057038D" w:rsidRDefault="0057038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90398"/>
    <w:rsid w:val="000B1CE8"/>
    <w:rsid w:val="00101781"/>
    <w:rsid w:val="001166EB"/>
    <w:rsid w:val="0014634D"/>
    <w:rsid w:val="0019189A"/>
    <w:rsid w:val="001B1DC3"/>
    <w:rsid w:val="001B4EF9"/>
    <w:rsid w:val="001D5F2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4EB9"/>
    <w:rsid w:val="00416F1F"/>
    <w:rsid w:val="00446EAC"/>
    <w:rsid w:val="00492911"/>
    <w:rsid w:val="00494105"/>
    <w:rsid w:val="004A5996"/>
    <w:rsid w:val="004D1E55"/>
    <w:rsid w:val="004D2C9E"/>
    <w:rsid w:val="004D2D3F"/>
    <w:rsid w:val="004D7923"/>
    <w:rsid w:val="00514DD1"/>
    <w:rsid w:val="005401D1"/>
    <w:rsid w:val="00545636"/>
    <w:rsid w:val="00553C6A"/>
    <w:rsid w:val="0057038D"/>
    <w:rsid w:val="00574159"/>
    <w:rsid w:val="005B2BA4"/>
    <w:rsid w:val="005D5474"/>
    <w:rsid w:val="005E089E"/>
    <w:rsid w:val="00604D48"/>
    <w:rsid w:val="00610F0E"/>
    <w:rsid w:val="00612AA5"/>
    <w:rsid w:val="006332C2"/>
    <w:rsid w:val="00644501"/>
    <w:rsid w:val="006454D5"/>
    <w:rsid w:val="006A3C8E"/>
    <w:rsid w:val="006E4BF3"/>
    <w:rsid w:val="00726084"/>
    <w:rsid w:val="00733C5E"/>
    <w:rsid w:val="00763DD3"/>
    <w:rsid w:val="007716C5"/>
    <w:rsid w:val="007841AD"/>
    <w:rsid w:val="007A0D28"/>
    <w:rsid w:val="007B43D7"/>
    <w:rsid w:val="007E2031"/>
    <w:rsid w:val="0081683A"/>
    <w:rsid w:val="0082553E"/>
    <w:rsid w:val="0084310B"/>
    <w:rsid w:val="008533FE"/>
    <w:rsid w:val="00875B1D"/>
    <w:rsid w:val="00895744"/>
    <w:rsid w:val="008D4983"/>
    <w:rsid w:val="008D4D99"/>
    <w:rsid w:val="008D59F8"/>
    <w:rsid w:val="008E2548"/>
    <w:rsid w:val="009838CD"/>
    <w:rsid w:val="009B25D1"/>
    <w:rsid w:val="009C0237"/>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6496"/>
    <w:rsid w:val="00E07E76"/>
    <w:rsid w:val="00E114EE"/>
    <w:rsid w:val="00E26244"/>
    <w:rsid w:val="00E32E34"/>
    <w:rsid w:val="00E33C3F"/>
    <w:rsid w:val="00E87CBE"/>
    <w:rsid w:val="00ED2D70"/>
    <w:rsid w:val="00EE4CC8"/>
    <w:rsid w:val="00F628DE"/>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689752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724C-D5FF-4972-9A14-EDC07D6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63</cp:revision>
  <cp:lastPrinted>2020-01-14T04:01:00Z</cp:lastPrinted>
  <dcterms:created xsi:type="dcterms:W3CDTF">2017-01-18T09:17:00Z</dcterms:created>
  <dcterms:modified xsi:type="dcterms:W3CDTF">2020-01-14T04:01:00Z</dcterms:modified>
</cp:coreProperties>
</file>