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Минобрнауки</w:t>
      </w:r>
      <w:proofErr w:type="spellEnd"/>
      <w:r w:rsidRPr="0013365D">
        <w:rPr>
          <w:rFonts w:ascii="Times New Roman" w:eastAsia="Calibri" w:hAnsi="Times New Roman" w:cs="Times New Roman"/>
          <w:sz w:val="24"/>
          <w:lang w:eastAsia="en-US"/>
        </w:rPr>
        <w:t xml:space="preserve"> России</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Бузулукский</w:t>
      </w:r>
      <w:proofErr w:type="spellEnd"/>
      <w:r w:rsidRPr="0013365D">
        <w:rPr>
          <w:rFonts w:ascii="Times New Roman" w:eastAsia="Calibri" w:hAnsi="Times New Roman" w:cs="Times New Roman"/>
          <w:sz w:val="24"/>
          <w:lang w:eastAsia="en-US"/>
        </w:rPr>
        <w:t xml:space="preserve"> гуманитарно-технологический институт (филиал)</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 xml:space="preserve"> федерального государственного бюджетного образовательного учреждения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высшего образования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«Оренбургский государственный университет»</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Кафедра финансов и кредита</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b/>
          <w:sz w:val="28"/>
          <w:lang w:eastAsia="en-US"/>
        </w:rPr>
        <w:t>МЕТОДИЧЕСКИЕ УКАЗАНИЯ ПО ОСВОЕНИЮ ДИСЦИПЛИНЫ</w:t>
      </w:r>
    </w:p>
    <w:p w:rsidR="0013365D" w:rsidRPr="0013365D" w:rsidRDefault="0013365D" w:rsidP="0013365D">
      <w:pPr>
        <w:suppressAutoHyphens/>
        <w:spacing w:before="120" w:after="0" w:line="240" w:lineRule="auto"/>
        <w:jc w:val="center"/>
        <w:rPr>
          <w:rFonts w:ascii="Times New Roman" w:eastAsia="Calibri" w:hAnsi="Times New Roman" w:cs="Times New Roman"/>
          <w:i/>
          <w:sz w:val="24"/>
          <w:lang w:eastAsia="en-US"/>
        </w:rPr>
      </w:pPr>
      <w:r w:rsidRPr="0013365D">
        <w:rPr>
          <w:rFonts w:ascii="Times New Roman" w:eastAsia="Calibri" w:hAnsi="Times New Roman" w:cs="Times New Roman"/>
          <w:i/>
          <w:sz w:val="24"/>
          <w:lang w:eastAsia="en-US"/>
        </w:rPr>
        <w:t>«Б.1.В.ОД.13 Международные валютно-кредитные и финансовые отношения»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Уровень высшего образования</w:t>
      </w: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БАКАЛАВРИАТ</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Направление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38.03.01 Экономика</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(код и наименование направления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Финансы и кредит</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Тип образовательной программы</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 xml:space="preserve">Программа академического </w:t>
      </w:r>
      <w:proofErr w:type="spellStart"/>
      <w:r w:rsidRPr="0013365D">
        <w:rPr>
          <w:rFonts w:ascii="Times New Roman" w:eastAsia="Calibri" w:hAnsi="Times New Roman" w:cs="Times New Roman"/>
          <w:i/>
          <w:sz w:val="24"/>
          <w:u w:val="single"/>
          <w:lang w:eastAsia="en-US"/>
        </w:rPr>
        <w:t>бакалавриата</w:t>
      </w:r>
      <w:proofErr w:type="spellEnd"/>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Квалификация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Бакалавр</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Форма обучения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Очная</w:t>
      </w:r>
      <w:r>
        <w:rPr>
          <w:rFonts w:ascii="Times New Roman" w:eastAsia="Calibri" w:hAnsi="Times New Roman" w:cs="Times New Roman"/>
          <w:i/>
          <w:sz w:val="24"/>
          <w:u w:val="single"/>
          <w:lang w:eastAsia="en-US"/>
        </w:rPr>
        <w:t>, заочная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sectPr w:rsidR="0013365D" w:rsidRPr="0013365D" w:rsidSect="00313FFD">
          <w:footerReference w:type="default" r:id="rId7"/>
          <w:pgSz w:w="11906" w:h="16838"/>
          <w:pgMar w:top="510" w:right="567" w:bottom="510" w:left="850" w:header="0" w:footer="510" w:gutter="0"/>
          <w:cols w:space="708"/>
          <w:docGrid w:linePitch="360"/>
        </w:sectPr>
      </w:pPr>
      <w:r w:rsidRPr="0013365D">
        <w:rPr>
          <w:rFonts w:ascii="Times New Roman" w:eastAsia="Calibri" w:hAnsi="Times New Roman" w:cs="Times New Roman"/>
          <w:sz w:val="24"/>
          <w:lang w:eastAsia="en-US"/>
        </w:rPr>
        <w:t>Год набора 201</w:t>
      </w:r>
      <w:r>
        <w:rPr>
          <w:rFonts w:ascii="Times New Roman" w:eastAsia="Calibri" w:hAnsi="Times New Roman" w:cs="Times New Roman"/>
          <w:sz w:val="24"/>
          <w:lang w:eastAsia="en-US"/>
        </w:rPr>
        <w:t>9</w:t>
      </w:r>
    </w:p>
    <w:p w:rsidR="00C045CF" w:rsidRDefault="00C045CF" w:rsidP="0013365D">
      <w:pPr>
        <w:spacing w:line="240" w:lineRule="auto"/>
        <w:contextualSpacing/>
        <w:rPr>
          <w:rFonts w:ascii="Times New Roman" w:hAnsi="Times New Roman"/>
          <w:sz w:val="28"/>
          <w:szCs w:val="28"/>
        </w:rPr>
      </w:pPr>
      <w:r>
        <w:rPr>
          <w:rFonts w:ascii="Times New Roman" w:hAnsi="Times New Roman"/>
          <w:sz w:val="28"/>
          <w:szCs w:val="28"/>
        </w:rPr>
        <w:lastRenderedPageBreak/>
        <w:t>УДК 338.24</w:t>
      </w:r>
    </w:p>
    <w:p w:rsidR="00C045CF" w:rsidRDefault="0013365D"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            </w:t>
      </w:r>
      <w:r w:rsidR="00C045CF">
        <w:rPr>
          <w:rFonts w:ascii="Times New Roman" w:hAnsi="Times New Roman"/>
          <w:sz w:val="28"/>
          <w:szCs w:val="28"/>
        </w:rPr>
        <w:t xml:space="preserve">ББК 65.291.21 </w:t>
      </w:r>
    </w:p>
    <w:p w:rsidR="00C045CF" w:rsidRDefault="0013365D" w:rsidP="00C045CF">
      <w:pPr>
        <w:spacing w:line="240" w:lineRule="auto"/>
        <w:ind w:left="-284"/>
        <w:contextualSpacing/>
        <w:rPr>
          <w:rFonts w:ascii="Times New Roman" w:hAnsi="Times New Roman"/>
          <w:sz w:val="28"/>
          <w:szCs w:val="28"/>
        </w:rPr>
      </w:pPr>
      <w:r>
        <w:rPr>
          <w:rFonts w:ascii="Times New Roman" w:hAnsi="Times New Roman"/>
          <w:sz w:val="28"/>
          <w:szCs w:val="28"/>
        </w:rPr>
        <w:t xml:space="preserve">    </w:t>
      </w:r>
      <w:r w:rsidR="00830E8F">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r>
        <w:rPr>
          <w:rFonts w:ascii="Times New Roman" w:hAnsi="Times New Roman"/>
          <w:sz w:val="28"/>
          <w:szCs w:val="28"/>
        </w:rPr>
        <w:t xml:space="preserve">              </w:t>
      </w: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C045CF" w:rsidRDefault="0013365D" w:rsidP="00C045CF">
      <w:pPr>
        <w:spacing w:line="240" w:lineRule="auto"/>
        <w:ind w:left="1" w:hanging="994"/>
        <w:contextualSpacing/>
        <w:jc w:val="both"/>
        <w:rPr>
          <w:rFonts w:ascii="Arial" w:hAnsi="Arial"/>
          <w:sz w:val="28"/>
          <w:szCs w:val="28"/>
        </w:rPr>
      </w:pPr>
      <w:r>
        <w:rPr>
          <w:rFonts w:ascii="Times New Roman" w:hAnsi="Times New Roman"/>
          <w:sz w:val="28"/>
          <w:szCs w:val="28"/>
        </w:rPr>
        <w:t xml:space="preserve">              </w:t>
      </w:r>
      <w:r w:rsidRPr="0013365D">
        <w:rPr>
          <w:rFonts w:ascii="Times New Roman" w:hAnsi="Times New Roman"/>
          <w:sz w:val="28"/>
          <w:szCs w:val="28"/>
        </w:rPr>
        <w:t xml:space="preserve">Международные валютно-кредитные и финансовые отношения: методические указания по освоению дисциплины. / сост. Е.А. Банникова. – Бузулук: </w:t>
      </w:r>
      <w:proofErr w:type="spellStart"/>
      <w:r w:rsidRPr="0013365D">
        <w:rPr>
          <w:rFonts w:ascii="Times New Roman" w:hAnsi="Times New Roman"/>
          <w:sz w:val="28"/>
          <w:szCs w:val="28"/>
        </w:rPr>
        <w:t>Бузулукский</w:t>
      </w:r>
      <w:proofErr w:type="spellEnd"/>
      <w:r w:rsidRPr="0013365D">
        <w:rPr>
          <w:rFonts w:ascii="Times New Roman" w:hAnsi="Times New Roman"/>
          <w:sz w:val="28"/>
          <w:szCs w:val="28"/>
        </w:rPr>
        <w:t xml:space="preserve"> гуманитарно-технологический </w:t>
      </w:r>
      <w:r>
        <w:rPr>
          <w:rFonts w:ascii="Times New Roman" w:hAnsi="Times New Roman"/>
          <w:sz w:val="28"/>
          <w:szCs w:val="28"/>
        </w:rPr>
        <w:t>институт (филиал) ОГУ, 2019</w:t>
      </w:r>
      <w:bookmarkStart w:id="1" w:name="_GoBack"/>
      <w:bookmarkEnd w:id="1"/>
      <w:r w:rsidRPr="0013365D">
        <w:rPr>
          <w:rFonts w:ascii="Times New Roman" w:hAnsi="Times New Roman"/>
          <w:sz w:val="28"/>
          <w:szCs w:val="28"/>
        </w:rPr>
        <w:t xml:space="preserve"> – 31с.</w:t>
      </w: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w:t>
      </w:r>
      <w:proofErr w:type="gramStart"/>
      <w:r w:rsidRPr="00BE5132">
        <w:rPr>
          <w:rFonts w:ascii="Times New Roman" w:hAnsi="Times New Roman"/>
          <w:sz w:val="28"/>
          <w:szCs w:val="28"/>
        </w:rPr>
        <w:t>по  освоению</w:t>
      </w:r>
      <w:proofErr w:type="gramEnd"/>
      <w:r w:rsidRPr="00BE5132">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C045CF" w:rsidRDefault="00C045C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747EBA">
        <w:rPr>
          <w:rFonts w:ascii="Times New Roman" w:hAnsi="Times New Roman"/>
          <w:noProof/>
          <w:sz w:val="28"/>
          <w:szCs w:val="28"/>
        </w:rPr>
        <w:t>, 201</w:t>
      </w:r>
      <w:r w:rsidR="009D3230">
        <w:rPr>
          <w:rFonts w:ascii="Times New Roman" w:hAnsi="Times New Roman"/>
          <w:noProof/>
          <w:sz w:val="28"/>
          <w:szCs w:val="28"/>
        </w:rPr>
        <w:t>9</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747EBA">
        <w:rPr>
          <w:rFonts w:ascii="Times New Roman" w:hAnsi="Times New Roman"/>
          <w:sz w:val="28"/>
          <w:szCs w:val="28"/>
        </w:rPr>
        <w:t xml:space="preserve"> ©БГТИ (филиал), 201</w:t>
      </w:r>
      <w:r w:rsidR="009D3230">
        <w:rPr>
          <w:rFonts w:ascii="Times New Roman" w:hAnsi="Times New Roman"/>
          <w:sz w:val="28"/>
          <w:szCs w:val="28"/>
        </w:rPr>
        <w:t>9</w:t>
      </w: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Организационно-методические данные дисциплины……………</w:t>
            </w:r>
            <w:proofErr w:type="gramStart"/>
            <w:r>
              <w:rPr>
                <w:sz w:val="28"/>
                <w:szCs w:val="28"/>
              </w:rPr>
              <w:t>…….</w:t>
            </w:r>
            <w:proofErr w:type="gramEnd"/>
            <w:r>
              <w:rPr>
                <w:sz w:val="28"/>
                <w:szCs w:val="28"/>
              </w:rPr>
              <w:t xml:space="preserve">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 xml:space="preserve">по освоению </w:t>
            </w:r>
            <w:proofErr w:type="gramStart"/>
            <w:r>
              <w:rPr>
                <w:sz w:val="28"/>
                <w:szCs w:val="28"/>
              </w:rPr>
              <w:t>дисциплины..</w:t>
            </w:r>
            <w:proofErr w:type="gramEnd"/>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roofErr w:type="gramStart"/>
            <w:r>
              <w:rPr>
                <w:rFonts w:ascii="Times New Roman"/>
                <w:sz w:val="28"/>
                <w:szCs w:val="28"/>
                <w:lang w:eastAsia="en-US"/>
              </w:rPr>
              <w:t>…….</w:t>
            </w:r>
            <w:proofErr w:type="gramEnd"/>
            <w:r>
              <w:rPr>
                <w:rFonts w:ascii="Times New Roman"/>
                <w:sz w:val="28"/>
                <w:szCs w:val="28"/>
                <w:lang w:eastAsia="en-US"/>
              </w:rPr>
              <w:t>.</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 xml:space="preserve">Методические указания </w:t>
            </w:r>
            <w:proofErr w:type="gramStart"/>
            <w:r>
              <w:rPr>
                <w:rFonts w:ascii="Times New Roman"/>
                <w:bCs/>
                <w:sz w:val="28"/>
                <w:szCs w:val="28"/>
              </w:rPr>
              <w:t>по  созданию</w:t>
            </w:r>
            <w:proofErr w:type="gramEnd"/>
            <w:r>
              <w:rPr>
                <w:rFonts w:ascii="Times New Roman"/>
                <w:bCs/>
                <w:sz w:val="28"/>
                <w:szCs w:val="28"/>
              </w:rPr>
              <w:t xml:space="preserve">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4. Контроль и управление самостоятельной работой студентов……</w:t>
            </w:r>
            <w:proofErr w:type="gramStart"/>
            <w:r>
              <w:rPr>
                <w:rFonts w:ascii="Times New Roman"/>
                <w:bCs/>
                <w:color w:val="000000"/>
                <w:sz w:val="28"/>
                <w:szCs w:val="28"/>
              </w:rPr>
              <w:t>…….</w:t>
            </w:r>
            <w:proofErr w:type="gramEnd"/>
            <w:r>
              <w:rPr>
                <w:rFonts w:ascii="Times New Roman"/>
                <w:bCs/>
                <w:color w:val="000000"/>
                <w:sz w:val="28"/>
                <w:szCs w:val="28"/>
              </w:rPr>
              <w:t xml:space="preserve">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roofErr w:type="gramStart"/>
            <w:r>
              <w:rPr>
                <w:rFonts w:ascii="Times New Roman"/>
                <w:bCs/>
                <w:sz w:val="28"/>
                <w:szCs w:val="28"/>
              </w:rPr>
              <w:t>…….</w:t>
            </w:r>
            <w:proofErr w:type="gramEnd"/>
            <w:r>
              <w:rPr>
                <w:rFonts w:ascii="Times New Roman"/>
                <w:bCs/>
                <w:sz w:val="28"/>
                <w:szCs w:val="28"/>
              </w:rPr>
              <w:t>.</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w:t>
      </w:r>
      <w:proofErr w:type="gramStart"/>
      <w:r>
        <w:rPr>
          <w:rFonts w:ascii="Times New Roman" w:hAnsi="Times New Roman"/>
          <w:bCs/>
          <w:sz w:val="28"/>
          <w:szCs w:val="28"/>
        </w:rPr>
        <w:t xml:space="preserve">и  </w:t>
      </w:r>
      <w:r>
        <w:rPr>
          <w:rFonts w:ascii="Times New Roman" w:hAnsi="Times New Roman"/>
          <w:sz w:val="28"/>
          <w:szCs w:val="28"/>
        </w:rPr>
        <w:t>учебно</w:t>
      </w:r>
      <w:proofErr w:type="gramEnd"/>
      <w:r>
        <w:rPr>
          <w:rFonts w:ascii="Times New Roman" w:hAnsi="Times New Roman"/>
          <w:sz w:val="28"/>
          <w:szCs w:val="28"/>
        </w:rPr>
        <w:t xml:space="preserve">-методических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proofErr w:type="gramStart"/>
            <w:r w:rsidRPr="00830E8F">
              <w:rPr>
                <w:rFonts w:ascii="Times New Roman" w:eastAsia="Calibri" w:hAnsi="Times New Roman" w:cs="Times New Roman"/>
                <w:b/>
                <w:bCs/>
                <w:sz w:val="24"/>
                <w:szCs w:val="24"/>
                <w:u w:val="single"/>
                <w:lang w:eastAsia="en-US"/>
              </w:rPr>
              <w:t>Уметь :</w:t>
            </w:r>
            <w:proofErr w:type="gramEnd"/>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215F11" w:rsidRPr="005E7BA8" w:rsidRDefault="00215F11" w:rsidP="005E7BA8">
      <w:pPr>
        <w:pStyle w:val="ReportMain0"/>
        <w:suppressAutoHyphens/>
        <w:ind w:firstLine="709"/>
        <w:jc w:val="both"/>
        <w:rPr>
          <w:sz w:val="28"/>
          <w:szCs w:val="28"/>
        </w:rPr>
      </w:pPr>
    </w:p>
    <w:p w:rsidR="005E7BA8" w:rsidRPr="005E7BA8" w:rsidRDefault="005E7BA8" w:rsidP="00075F8E">
      <w:pPr>
        <w:pStyle w:val="a9"/>
        <w:tabs>
          <w:tab w:val="left" w:pos="993"/>
          <w:tab w:val="left" w:pos="1134"/>
        </w:tabs>
        <w:ind w:left="0" w:firstLine="567"/>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Общая труд</w:t>
      </w:r>
      <w:r w:rsidR="009D3230">
        <w:rPr>
          <w:sz w:val="28"/>
          <w:szCs w:val="28"/>
        </w:rPr>
        <w:t>оемкость дисциплины составляет 4 зачетных единиц (144</w:t>
      </w:r>
      <w:r w:rsidR="00830E8F">
        <w:rPr>
          <w:sz w:val="28"/>
          <w:szCs w:val="28"/>
        </w:rPr>
        <w:t xml:space="preserve"> академических часов) на </w:t>
      </w:r>
      <w:r w:rsidR="0013094E">
        <w:rPr>
          <w:sz w:val="28"/>
          <w:szCs w:val="28"/>
        </w:rPr>
        <w:t>очной</w:t>
      </w:r>
      <w:r w:rsidRPr="005E7BA8">
        <w:rPr>
          <w:sz w:val="28"/>
          <w:szCs w:val="28"/>
        </w:rPr>
        <w:t xml:space="preserve"> форме обучения</w:t>
      </w:r>
    </w:p>
    <w:p w:rsidR="005E7BA8" w:rsidRDefault="005E7BA8" w:rsidP="005E7BA8">
      <w:pPr>
        <w:pStyle w:val="ReportMain0"/>
        <w:suppressAutoHyphens/>
        <w:ind w:firstLine="709"/>
        <w:jc w:val="both"/>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29"/>
        <w:gridCol w:w="1348"/>
        <w:gridCol w:w="1348"/>
      </w:tblGrid>
      <w:tr w:rsidR="009D3230" w:rsidRPr="009D3230" w:rsidTr="009D3230">
        <w:trPr>
          <w:trHeight w:val="542"/>
          <w:tblHeader/>
        </w:trPr>
        <w:tc>
          <w:tcPr>
            <w:tcW w:w="7229"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Вид работы</w:t>
            </w:r>
          </w:p>
        </w:tc>
        <w:tc>
          <w:tcPr>
            <w:tcW w:w="2696" w:type="dxa"/>
            <w:gridSpan w:val="2"/>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 Трудоемкость,</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академических часов</w:t>
            </w:r>
          </w:p>
        </w:tc>
      </w:tr>
      <w:tr w:rsidR="009D3230" w:rsidRPr="009D3230" w:rsidTr="009D3230">
        <w:trPr>
          <w:trHeight w:val="281"/>
          <w:tblHeader/>
        </w:trPr>
        <w:tc>
          <w:tcPr>
            <w:tcW w:w="7229"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 семестр</w:t>
            </w: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Общая трудоёмкость</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Контактная работа:</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Лекции (Л)</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Практические занятия (ПЗ)</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r w:rsidR="009D3230" w:rsidRPr="009D3230" w:rsidTr="009D3230">
        <w:trPr>
          <w:trHeight w:val="262"/>
        </w:trPr>
        <w:tc>
          <w:tcPr>
            <w:tcW w:w="7229" w:type="dxa"/>
            <w:tcBorders>
              <w:bottom w:val="single" w:sz="4" w:space="0" w:color="auto"/>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Промежуточная аттестация (зачет, экзамен)</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r>
      <w:tr w:rsidR="009D3230" w:rsidRPr="009D3230" w:rsidTr="009D3230">
        <w:trPr>
          <w:trHeight w:val="262"/>
        </w:trPr>
        <w:tc>
          <w:tcPr>
            <w:tcW w:w="7229" w:type="dxa"/>
            <w:tcBorders>
              <w:bottom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Самостоятельная работа:</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r>
      <w:tr w:rsidR="009D3230" w:rsidRPr="009D3230" w:rsidTr="009D3230">
        <w:trPr>
          <w:trHeight w:val="1103"/>
        </w:trPr>
        <w:tc>
          <w:tcPr>
            <w:tcW w:w="7229" w:type="dxa"/>
            <w:tcBorders>
              <w:top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практическим занятиям;</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рубежному контролю и т.п.)</w:t>
            </w: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r>
      <w:tr w:rsidR="009D3230" w:rsidRPr="009D3230" w:rsidTr="009D3230">
        <w:trPr>
          <w:trHeight w:val="56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p>
        </w:tc>
      </w:tr>
    </w:tbl>
    <w:p w:rsidR="009C5EE6" w:rsidRDefault="009C5EE6" w:rsidP="009C5EE6">
      <w:pPr>
        <w:pStyle w:val="a9"/>
        <w:tabs>
          <w:tab w:val="left" w:pos="993"/>
          <w:tab w:val="left" w:pos="1134"/>
        </w:tabs>
        <w:ind w:left="0"/>
        <w:jc w:val="both"/>
        <w:rPr>
          <w:sz w:val="28"/>
          <w:szCs w:val="28"/>
        </w:rPr>
      </w:pPr>
    </w:p>
    <w:p w:rsidR="00502BB1" w:rsidRPr="00502BB1" w:rsidRDefault="00502BB1" w:rsidP="00502BB1">
      <w:pPr>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 xml:space="preserve">Общая трудоемкость дисциплины составляет 4 зачетных единиц (144 академических часов) на заочной форме обучения. </w:t>
      </w:r>
    </w:p>
    <w:p w:rsidR="00502BB1" w:rsidRPr="00502BB1" w:rsidRDefault="00502BB1" w:rsidP="00502BB1">
      <w:pPr>
        <w:tabs>
          <w:tab w:val="left" w:pos="2935"/>
        </w:tabs>
        <w:suppressAutoHyphens/>
        <w:spacing w:after="0" w:line="24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98"/>
        <w:gridCol w:w="1342"/>
        <w:gridCol w:w="1343"/>
      </w:tblGrid>
      <w:tr w:rsidR="00502BB1" w:rsidRPr="00502BB1" w:rsidTr="00502BB1">
        <w:trPr>
          <w:trHeight w:val="537"/>
          <w:tblHeader/>
        </w:trPr>
        <w:tc>
          <w:tcPr>
            <w:tcW w:w="719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Вид работы</w:t>
            </w:r>
          </w:p>
        </w:tc>
        <w:tc>
          <w:tcPr>
            <w:tcW w:w="2685" w:type="dxa"/>
            <w:gridSpan w:val="2"/>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xml:space="preserve"> Трудоемкость,</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академических часов</w:t>
            </w:r>
          </w:p>
        </w:tc>
      </w:tr>
      <w:tr w:rsidR="00502BB1" w:rsidRPr="00502BB1" w:rsidTr="00502BB1">
        <w:trPr>
          <w:trHeight w:val="268"/>
          <w:tblHeader/>
        </w:trPr>
        <w:tc>
          <w:tcPr>
            <w:tcW w:w="719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 семестр</w:t>
            </w: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Общая трудоёмкость</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Контактная работа:</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Лекции (Л)</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50"/>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Практические занятия (ПЗ)</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68"/>
        </w:trPr>
        <w:tc>
          <w:tcPr>
            <w:tcW w:w="7198" w:type="dxa"/>
            <w:tcBorders>
              <w:bottom w:val="single" w:sz="4" w:space="0" w:color="auto"/>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Промежуточная аттестация (зачет, экзамен)</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r>
      <w:tr w:rsidR="00502BB1" w:rsidRPr="00502BB1" w:rsidTr="00502BB1">
        <w:trPr>
          <w:trHeight w:val="268"/>
        </w:trPr>
        <w:tc>
          <w:tcPr>
            <w:tcW w:w="7198" w:type="dxa"/>
            <w:tcBorders>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Самостоятельная работа:</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r>
      <w:tr w:rsidR="00502BB1" w:rsidRPr="00502BB1" w:rsidTr="00502BB1">
        <w:trPr>
          <w:trHeight w:val="268"/>
        </w:trPr>
        <w:tc>
          <w:tcPr>
            <w:tcW w:w="7198" w:type="dxa"/>
            <w:tcBorders>
              <w:top w:val="nil"/>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выполнение контрольной работы (</w:t>
            </w:r>
            <w:proofErr w:type="spellStart"/>
            <w:r w:rsidRPr="00502BB1">
              <w:rPr>
                <w:rFonts w:ascii="Times New Roman" w:eastAsia="Calibri" w:hAnsi="Times New Roman" w:cs="Times New Roman"/>
                <w:i/>
                <w:sz w:val="24"/>
                <w:lang w:eastAsia="en-US"/>
              </w:rPr>
              <w:t>КонтрР</w:t>
            </w:r>
            <w:proofErr w:type="spellEnd"/>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805"/>
        </w:trPr>
        <w:tc>
          <w:tcPr>
            <w:tcW w:w="7198" w:type="dxa"/>
            <w:tcBorders>
              <w:top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подготовка к практическим занятиям.</w:t>
            </w: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555"/>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p>
        </w:tc>
      </w:tr>
    </w:tbl>
    <w:p w:rsidR="00502BB1" w:rsidRPr="00502BB1" w:rsidRDefault="00502BB1" w:rsidP="00502BB1">
      <w:pPr>
        <w:suppressAutoHyphens/>
        <w:spacing w:after="0" w:line="240" w:lineRule="auto"/>
        <w:ind w:firstLine="709"/>
        <w:jc w:val="both"/>
        <w:rPr>
          <w:rFonts w:ascii="Times New Roman" w:eastAsia="Calibri" w:hAnsi="Times New Roman" w:cs="Times New Roman"/>
          <w:sz w:val="24"/>
          <w:lang w:eastAsia="en-US"/>
        </w:rPr>
      </w:pPr>
    </w:p>
    <w:p w:rsidR="00502BB1" w:rsidRDefault="00502BB1" w:rsidP="00DB7E2A">
      <w:pPr>
        <w:pStyle w:val="ReportMain0"/>
        <w:keepNext/>
        <w:suppressAutoHyphens/>
        <w:ind w:firstLine="709"/>
        <w:jc w:val="both"/>
      </w:pPr>
    </w:p>
    <w:p w:rsidR="00DB7E2A" w:rsidRPr="00502BB1" w:rsidRDefault="00DB7E2A" w:rsidP="00DB7E2A">
      <w:pPr>
        <w:pStyle w:val="ReportMain0"/>
        <w:keepNext/>
        <w:suppressAutoHyphens/>
        <w:ind w:firstLine="709"/>
        <w:jc w:val="both"/>
        <w:rPr>
          <w:sz w:val="28"/>
          <w:szCs w:val="28"/>
        </w:rPr>
      </w:pPr>
      <w:r w:rsidRPr="00502BB1">
        <w:rPr>
          <w:sz w:val="28"/>
          <w:szCs w:val="28"/>
        </w:rPr>
        <w:t xml:space="preserve">Разделы дисциплины, изучаемые в </w:t>
      </w:r>
      <w:r w:rsidR="009D3230" w:rsidRPr="00502BB1">
        <w:rPr>
          <w:sz w:val="28"/>
          <w:szCs w:val="28"/>
        </w:rPr>
        <w:t>7</w:t>
      </w:r>
      <w:r w:rsidRPr="00502BB1">
        <w:rPr>
          <w:sz w:val="28"/>
          <w:szCs w:val="28"/>
        </w:rPr>
        <w:t xml:space="preserve"> семестре на очной форме обучения</w:t>
      </w:r>
    </w:p>
    <w:tbl>
      <w:tblPr>
        <w:tblpPr w:leftFromText="180" w:rightFromText="180" w:vertAnchor="text" w:tblpY="1"/>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
        <w:gridCol w:w="4548"/>
        <w:gridCol w:w="1021"/>
        <w:gridCol w:w="510"/>
        <w:gridCol w:w="510"/>
        <w:gridCol w:w="511"/>
        <w:gridCol w:w="1022"/>
      </w:tblGrid>
      <w:tr w:rsidR="009D3230" w:rsidRPr="009D3230" w:rsidTr="009D3230">
        <w:trPr>
          <w:trHeight w:val="266"/>
          <w:tblHeader/>
        </w:trPr>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3" w:name="Merge3" w:colFirst="2" w:colLast="6"/>
            <w:bookmarkStart w:id="4" w:name="Merge4" w:colFirst="1" w:colLast="1"/>
            <w:bookmarkStart w:id="5" w:name="Merge5" w:colFirst="0" w:colLast="0"/>
            <w:r w:rsidRPr="009D3230">
              <w:rPr>
                <w:rFonts w:ascii="Times New Roman" w:eastAsia="Calibri" w:hAnsi="Times New Roman" w:cs="Times New Roman"/>
                <w:sz w:val="24"/>
                <w:lang w:eastAsia="en-US"/>
              </w:rPr>
              <w:t>№ раздела</w:t>
            </w:r>
          </w:p>
        </w:tc>
        <w:tc>
          <w:tcPr>
            <w:tcW w:w="4548"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Наименование разделов, тем</w:t>
            </w:r>
          </w:p>
        </w:tc>
        <w:tc>
          <w:tcPr>
            <w:tcW w:w="3574" w:type="dxa"/>
            <w:gridSpan w:val="5"/>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Количество часов</w:t>
            </w:r>
          </w:p>
        </w:tc>
      </w:tr>
      <w:tr w:rsidR="009D3230" w:rsidRPr="009D3230" w:rsidTr="00502BB1">
        <w:trPr>
          <w:trHeight w:val="570"/>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6" w:name="Merge1" w:colFirst="3" w:colLast="5"/>
            <w:bookmarkStart w:id="7" w:name="Merge0" w:colFirst="6" w:colLast="6"/>
            <w:bookmarkStart w:id="8" w:name="Merge2" w:colFirst="2" w:colLast="2"/>
            <w:bookmarkEnd w:id="3"/>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531" w:type="dxa"/>
            <w:gridSpan w:val="3"/>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аудиторная</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работа</w:t>
            </w:r>
          </w:p>
        </w:tc>
        <w:tc>
          <w:tcPr>
            <w:tcW w:w="1022"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roofErr w:type="spellStart"/>
            <w:r w:rsidRPr="009D3230">
              <w:rPr>
                <w:rFonts w:ascii="Times New Roman" w:eastAsia="Calibri" w:hAnsi="Times New Roman" w:cs="Times New Roman"/>
                <w:sz w:val="24"/>
                <w:lang w:eastAsia="en-US"/>
              </w:rPr>
              <w:t>внеауд</w:t>
            </w:r>
            <w:proofErr w:type="spellEnd"/>
            <w:r w:rsidRPr="009D3230">
              <w:rPr>
                <w:rFonts w:ascii="Times New Roman" w:eastAsia="Calibri" w:hAnsi="Times New Roman" w:cs="Times New Roman"/>
                <w:sz w:val="24"/>
                <w:lang w:eastAsia="en-US"/>
              </w:rPr>
              <w:t>. работа</w:t>
            </w:r>
          </w:p>
        </w:tc>
      </w:tr>
      <w:bookmarkEnd w:id="6"/>
      <w:tr w:rsidR="009D3230" w:rsidRPr="009D3230" w:rsidTr="00502BB1">
        <w:trPr>
          <w:trHeight w:val="303"/>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w:t>
            </w: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ПЗ</w:t>
            </w:r>
          </w:p>
        </w:tc>
        <w:tc>
          <w:tcPr>
            <w:tcW w:w="51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ЛР</w:t>
            </w:r>
          </w:p>
        </w:tc>
        <w:tc>
          <w:tcPr>
            <w:tcW w:w="1022"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r>
      <w:bookmarkEnd w:id="4"/>
      <w:bookmarkEnd w:id="5"/>
      <w:bookmarkEnd w:id="7"/>
      <w:bookmarkEnd w:id="8"/>
      <w:tr w:rsidR="009D3230" w:rsidRPr="009D3230" w:rsidTr="00502BB1">
        <w:trPr>
          <w:trHeight w:val="55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Международные валютные отношения и валютная система</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12</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Платежный баланс</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4548" w:type="dxa"/>
            <w:shd w:val="clear" w:color="auto" w:fill="auto"/>
            <w:vAlign w:val="center"/>
          </w:tcPr>
          <w:p w:rsidR="009D3230" w:rsidRPr="009D3230" w:rsidRDefault="009D3230" w:rsidP="009D3230">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 xml:space="preserve">Валютная политика </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Валютные рынки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Операции с валютой</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расчеты</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кредитные отношения</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550"/>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w:t>
            </w:r>
            <w:r>
              <w:rPr>
                <w:rFonts w:ascii="Times New Roman" w:eastAsia="Calibri" w:hAnsi="Times New Roman" w:cs="Times New Roman"/>
                <w:sz w:val="24"/>
                <w:szCs w:val="24"/>
                <w:lang w:eastAsia="en-US"/>
              </w:rPr>
              <w:t>одные валютно-кредитные и финан</w:t>
            </w:r>
            <w:r w:rsidRPr="009D3230">
              <w:rPr>
                <w:rFonts w:ascii="Times New Roman" w:eastAsia="Calibri" w:hAnsi="Times New Roman" w:cs="Times New Roman"/>
                <w:sz w:val="24"/>
                <w:szCs w:val="24"/>
                <w:lang w:eastAsia="en-US"/>
              </w:rPr>
              <w:t>совые организации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20</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bl>
    <w:p w:rsidR="00502BB1" w:rsidRDefault="00502BB1" w:rsidP="00502BB1">
      <w:pPr>
        <w:keepNext/>
        <w:suppressAutoHyphens/>
        <w:spacing w:after="0" w:line="240" w:lineRule="auto"/>
        <w:ind w:firstLine="709"/>
        <w:jc w:val="both"/>
        <w:rPr>
          <w:rFonts w:ascii="Times New Roman" w:eastAsia="Calibri" w:hAnsi="Times New Roman" w:cs="Times New Roman"/>
          <w:sz w:val="24"/>
          <w:lang w:eastAsia="en-US"/>
        </w:rPr>
      </w:pPr>
    </w:p>
    <w:p w:rsidR="00502BB1" w:rsidRPr="00502BB1" w:rsidRDefault="00502BB1" w:rsidP="00502BB1">
      <w:pPr>
        <w:keepNext/>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Разделы дисциплины, изучаемые в 8 семестре на заочной форме обучения.</w:t>
      </w:r>
    </w:p>
    <w:p w:rsidR="00502BB1" w:rsidRPr="00502BB1" w:rsidRDefault="00502BB1" w:rsidP="00502BB1">
      <w:pPr>
        <w:keepNext/>
        <w:suppressAutoHyphens/>
        <w:spacing w:after="0" w:line="240" w:lineRule="auto"/>
        <w:jc w:val="both"/>
        <w:rPr>
          <w:rFonts w:ascii="Times New Roman" w:eastAsia="Calibri" w:hAnsi="Times New Roman" w:cs="Times New Roman"/>
          <w:sz w:val="24"/>
          <w:lang w:eastAsia="en-US"/>
        </w:rPr>
      </w:pPr>
    </w:p>
    <w:tbl>
      <w:tblPr>
        <w:tblpPr w:leftFromText="180" w:rightFromText="180" w:vertAnchor="text" w:tblpY="1"/>
        <w:tblOverlap w:val="neve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95"/>
        <w:gridCol w:w="4878"/>
        <w:gridCol w:w="1095"/>
        <w:gridCol w:w="547"/>
        <w:gridCol w:w="547"/>
        <w:gridCol w:w="549"/>
        <w:gridCol w:w="1095"/>
      </w:tblGrid>
      <w:tr w:rsidR="00502BB1" w:rsidRPr="00502BB1" w:rsidTr="00502BB1">
        <w:trPr>
          <w:trHeight w:val="264"/>
          <w:tblHeader/>
        </w:trPr>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раздела</w:t>
            </w:r>
          </w:p>
        </w:tc>
        <w:tc>
          <w:tcPr>
            <w:tcW w:w="487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Наименование разделов, тем</w:t>
            </w:r>
          </w:p>
        </w:tc>
        <w:tc>
          <w:tcPr>
            <w:tcW w:w="3833" w:type="dxa"/>
            <w:gridSpan w:val="5"/>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Количество часов</w:t>
            </w:r>
          </w:p>
        </w:tc>
      </w:tr>
      <w:tr w:rsidR="00502BB1" w:rsidRPr="00502BB1" w:rsidTr="00502BB1">
        <w:trPr>
          <w:trHeight w:val="585"/>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643" w:type="dxa"/>
            <w:gridSpan w:val="3"/>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аудиторная</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работа</w:t>
            </w: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roofErr w:type="spellStart"/>
            <w:r w:rsidRPr="00502BB1">
              <w:rPr>
                <w:rFonts w:ascii="Times New Roman" w:eastAsia="Calibri" w:hAnsi="Times New Roman" w:cs="Times New Roman"/>
                <w:sz w:val="24"/>
                <w:lang w:eastAsia="en-US"/>
              </w:rPr>
              <w:t>внеауд</w:t>
            </w:r>
            <w:proofErr w:type="spellEnd"/>
            <w:r w:rsidRPr="00502BB1">
              <w:rPr>
                <w:rFonts w:ascii="Times New Roman" w:eastAsia="Calibri" w:hAnsi="Times New Roman" w:cs="Times New Roman"/>
                <w:sz w:val="24"/>
                <w:lang w:eastAsia="en-US"/>
              </w:rPr>
              <w:t>. работа</w:t>
            </w:r>
          </w:p>
        </w:tc>
      </w:tr>
      <w:tr w:rsidR="00502BB1" w:rsidRPr="00502BB1" w:rsidTr="00502BB1">
        <w:trPr>
          <w:trHeight w:val="302"/>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ПЗ</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ЛР</w:t>
            </w: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r>
      <w:tr w:rsidR="00502BB1" w:rsidRPr="00502BB1" w:rsidTr="00502BB1">
        <w:trPr>
          <w:trHeight w:val="569"/>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z w:val="24"/>
                <w:szCs w:val="24"/>
                <w:lang w:eastAsia="en-US"/>
              </w:rPr>
              <w:t>Международные валютные отношения и валютная система</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Платежный баланс</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3</w:t>
            </w:r>
          </w:p>
        </w:tc>
        <w:tc>
          <w:tcPr>
            <w:tcW w:w="4878" w:type="dxa"/>
            <w:shd w:val="clear" w:color="auto" w:fill="auto"/>
            <w:vAlign w:val="center"/>
          </w:tcPr>
          <w:p w:rsidR="00502BB1" w:rsidRPr="00502BB1" w:rsidRDefault="00502BB1" w:rsidP="00502BB1">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 xml:space="preserve">Валютная политика </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64"/>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4</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Валютные рынки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5</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Операции с валютой</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6</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расчеты</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7</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кредитные отношения</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566"/>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Международные валютно-кредитные и финансовые организации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Итого: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r w:rsidR="00502BB1" w:rsidRPr="00502BB1" w:rsidTr="00502BB1">
        <w:trPr>
          <w:trHeight w:val="30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bl>
    <w:p w:rsidR="00D313A5" w:rsidRPr="00D313A5" w:rsidRDefault="00D313A5" w:rsidP="00D313A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1 </w:t>
      </w:r>
      <w:r w:rsidRPr="009D3230">
        <w:rPr>
          <w:rFonts w:ascii="Times New Roman" w:eastAsia="Calibri" w:hAnsi="Times New Roman" w:cs="Times New Roman"/>
          <w:b/>
          <w:sz w:val="28"/>
          <w:szCs w:val="28"/>
          <w:lang w:eastAsia="en-US"/>
        </w:rPr>
        <w:t>Международные валютные отношения и валютная система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Общая характеристика Парижской, Генуэзской, </w:t>
      </w:r>
      <w:proofErr w:type="spellStart"/>
      <w:r w:rsidRPr="009D3230">
        <w:rPr>
          <w:rFonts w:ascii="Times New Roman" w:eastAsia="Calibri" w:hAnsi="Times New Roman" w:cs="Times New Roman"/>
          <w:sz w:val="28"/>
          <w:szCs w:val="28"/>
          <w:lang w:eastAsia="en-US"/>
        </w:rPr>
        <w:t>Бреттон</w:t>
      </w:r>
      <w:proofErr w:type="spellEnd"/>
      <w:r w:rsidRPr="009D3230">
        <w:rPr>
          <w:rFonts w:ascii="Times New Roman" w:eastAsia="Calibri" w:hAnsi="Times New Roman" w:cs="Times New Roman"/>
          <w:sz w:val="28"/>
          <w:szCs w:val="28"/>
          <w:lang w:eastAsia="en-US"/>
        </w:rPr>
        <w:t xml:space="preserve"> - </w:t>
      </w:r>
      <w:proofErr w:type="spellStart"/>
      <w:r w:rsidRPr="009D3230">
        <w:rPr>
          <w:rFonts w:ascii="Times New Roman" w:eastAsia="Calibri" w:hAnsi="Times New Roman" w:cs="Times New Roman"/>
          <w:sz w:val="28"/>
          <w:szCs w:val="28"/>
          <w:lang w:eastAsia="en-US"/>
        </w:rPr>
        <w:t>Вудской</w:t>
      </w:r>
      <w:proofErr w:type="spellEnd"/>
      <w:r w:rsidRPr="009D3230">
        <w:rPr>
          <w:rFonts w:ascii="Times New Roman" w:eastAsia="Calibri" w:hAnsi="Times New Roman" w:cs="Times New Roman"/>
          <w:sz w:val="28"/>
          <w:szCs w:val="28"/>
          <w:lang w:eastAsia="en-US"/>
        </w:rPr>
        <w:t xml:space="preserve">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2 </w:t>
      </w:r>
      <w:r w:rsidRPr="009D3230">
        <w:rPr>
          <w:rFonts w:ascii="Times New Roman" w:eastAsia="Calibri" w:hAnsi="Times New Roman" w:cs="Times New Roman"/>
          <w:b/>
          <w:sz w:val="28"/>
          <w:szCs w:val="28"/>
          <w:lang w:eastAsia="en-US"/>
        </w:rPr>
        <w:t>Платежный баланс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3 </w:t>
      </w:r>
      <w:r w:rsidRPr="009D3230">
        <w:rPr>
          <w:rFonts w:ascii="Times New Roman" w:eastAsia="Calibri" w:hAnsi="Times New Roman" w:cs="Times New Roman"/>
          <w:b/>
          <w:sz w:val="28"/>
          <w:szCs w:val="28"/>
          <w:lang w:eastAsia="en-US"/>
        </w:rPr>
        <w:t>Валютная политика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4 </w:t>
      </w:r>
      <w:r w:rsidRPr="009D3230">
        <w:rPr>
          <w:rFonts w:ascii="Times New Roman" w:eastAsia="Calibri" w:hAnsi="Times New Roman" w:cs="Times New Roman"/>
          <w:b/>
          <w:sz w:val="28"/>
          <w:szCs w:val="28"/>
          <w:lang w:eastAsia="en-US"/>
        </w:rPr>
        <w:t>Валютные рынки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Участники валютного рынка. Краткая характеристика участников валютного рынка по степени коммерческого риска: предприниматель, инвестор, спекулянт, </w:t>
      </w:r>
      <w:proofErr w:type="spellStart"/>
      <w:r w:rsidRPr="009D3230">
        <w:rPr>
          <w:rFonts w:ascii="Times New Roman" w:eastAsia="Calibri" w:hAnsi="Times New Roman" w:cs="Times New Roman"/>
          <w:sz w:val="28"/>
          <w:szCs w:val="28"/>
          <w:lang w:eastAsia="en-US"/>
        </w:rPr>
        <w:t>хеджер</w:t>
      </w:r>
      <w:proofErr w:type="spellEnd"/>
      <w:r w:rsidRPr="009D3230">
        <w:rPr>
          <w:rFonts w:ascii="Times New Roman" w:eastAsia="Calibri" w:hAnsi="Times New Roman" w:cs="Times New Roman"/>
          <w:sz w:val="28"/>
          <w:szCs w:val="28"/>
          <w:lang w:eastAsia="en-US"/>
        </w:rPr>
        <w:t>, игрок.</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5 </w:t>
      </w:r>
      <w:r w:rsidRPr="009D3230">
        <w:rPr>
          <w:rFonts w:ascii="Times New Roman" w:eastAsia="Calibri" w:hAnsi="Times New Roman" w:cs="Times New Roman"/>
          <w:b/>
          <w:sz w:val="28"/>
          <w:szCs w:val="28"/>
          <w:lang w:eastAsia="en-US"/>
        </w:rPr>
        <w:t>Операции с валютой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Опцион и его виды. Стили исполнения опциона. Опционный курс (цена </w:t>
      </w:r>
      <w:proofErr w:type="spellStart"/>
      <w:r w:rsidRPr="009D3230">
        <w:rPr>
          <w:rFonts w:ascii="Times New Roman" w:eastAsia="Calibri" w:hAnsi="Times New Roman" w:cs="Times New Roman"/>
          <w:sz w:val="28"/>
          <w:szCs w:val="28"/>
          <w:lang w:eastAsia="en-US"/>
        </w:rPr>
        <w:t>страйк</w:t>
      </w:r>
      <w:proofErr w:type="spellEnd"/>
      <w:r w:rsidRPr="009D3230">
        <w:rPr>
          <w:rFonts w:ascii="Times New Roman" w:eastAsia="Calibri" w:hAnsi="Times New Roman" w:cs="Times New Roman"/>
          <w:sz w:val="28"/>
          <w:szCs w:val="28"/>
          <w:lang w:eastAsia="en-US"/>
        </w:rPr>
        <w:t>).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6 </w:t>
      </w:r>
      <w:r w:rsidRPr="009D3230">
        <w:rPr>
          <w:rFonts w:ascii="Times New Roman" w:eastAsia="Calibri" w:hAnsi="Times New Roman" w:cs="Times New Roman"/>
          <w:b/>
          <w:sz w:val="28"/>
          <w:szCs w:val="28"/>
          <w:lang w:eastAsia="en-US"/>
        </w:rPr>
        <w:t>Международные расчеты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7 </w:t>
      </w:r>
      <w:r w:rsidRPr="009D3230">
        <w:rPr>
          <w:rFonts w:ascii="Times New Roman" w:eastAsia="Calibri" w:hAnsi="Times New Roman" w:cs="Times New Roman"/>
          <w:b/>
          <w:sz w:val="28"/>
          <w:szCs w:val="28"/>
          <w:lang w:eastAsia="en-US"/>
        </w:rPr>
        <w:t>Международные кредитные отношения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w:t>
      </w:r>
      <w:proofErr w:type="spellStart"/>
      <w:r w:rsidRPr="009D3230">
        <w:rPr>
          <w:rFonts w:ascii="Times New Roman" w:eastAsia="Calibri" w:hAnsi="Times New Roman" w:cs="Times New Roman"/>
          <w:sz w:val="28"/>
          <w:szCs w:val="28"/>
          <w:lang w:eastAsia="en-US"/>
        </w:rPr>
        <w:t>страновые</w:t>
      </w:r>
      <w:proofErr w:type="spellEnd"/>
      <w:r w:rsidRPr="009D3230">
        <w:rPr>
          <w:rFonts w:ascii="Times New Roman" w:eastAsia="Calibri" w:hAnsi="Times New Roman" w:cs="Times New Roman"/>
          <w:sz w:val="28"/>
          <w:szCs w:val="28"/>
          <w:lang w:eastAsia="en-US"/>
        </w:rPr>
        <w:t xml:space="preserve">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Валютно-финансовые и платежные условия международного кредитного соглашения: </w:t>
      </w:r>
      <w:proofErr w:type="spellStart"/>
      <w:r w:rsidRPr="009D3230">
        <w:rPr>
          <w:rFonts w:ascii="Times New Roman" w:eastAsia="Calibri" w:hAnsi="Times New Roman" w:cs="Times New Roman"/>
          <w:sz w:val="28"/>
          <w:szCs w:val="28"/>
          <w:lang w:eastAsia="en-US"/>
        </w:rPr>
        <w:t>валютазайма</w:t>
      </w:r>
      <w:proofErr w:type="spellEnd"/>
      <w:r w:rsidRPr="009D3230">
        <w:rPr>
          <w:rFonts w:ascii="Times New Roman" w:eastAsia="Calibri" w:hAnsi="Times New Roman" w:cs="Times New Roman"/>
          <w:sz w:val="28"/>
          <w:szCs w:val="28"/>
          <w:lang w:eastAsia="en-US"/>
        </w:rPr>
        <w:t xml:space="preserve">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8 </w:t>
      </w:r>
      <w:r w:rsidRPr="009D3230">
        <w:rPr>
          <w:rFonts w:ascii="Times New Roman" w:eastAsia="Calibri" w:hAnsi="Times New Roman" w:cs="Times New Roman"/>
          <w:b/>
          <w:sz w:val="28"/>
          <w:szCs w:val="28"/>
          <w:lang w:eastAsia="en-US"/>
        </w:rPr>
        <w:t>Международные валютно-кредитные и финансовые организации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w:t>
      </w:r>
      <w:proofErr w:type="spellStart"/>
      <w:r w:rsidRPr="009D3230">
        <w:rPr>
          <w:rFonts w:ascii="Times New Roman" w:eastAsia="Calibri" w:hAnsi="Times New Roman" w:cs="Times New Roman"/>
          <w:sz w:val="28"/>
          <w:szCs w:val="28"/>
          <w:lang w:eastAsia="en-US"/>
        </w:rPr>
        <w:t>Евросистема</w:t>
      </w:r>
      <w:proofErr w:type="spellEnd"/>
      <w:r w:rsidRPr="009D3230">
        <w:rPr>
          <w:rFonts w:ascii="Times New Roman" w:eastAsia="Calibri" w:hAnsi="Times New Roman" w:cs="Times New Roman"/>
          <w:sz w:val="28"/>
          <w:szCs w:val="28"/>
          <w:lang w:eastAsia="en-US"/>
        </w:rPr>
        <w:t>.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w:t>
      </w:r>
      <w:proofErr w:type="gramStart"/>
      <w:r>
        <w:rPr>
          <w:rFonts w:ascii="Times New Roman" w:hAnsi="Times New Roman"/>
          <w:bCs/>
          <w:sz w:val="28"/>
          <w:szCs w:val="28"/>
        </w:rPr>
        <w:t>Положению</w:t>
      </w:r>
      <w:proofErr w:type="gramEnd"/>
      <w:r>
        <w:rPr>
          <w:rFonts w:ascii="Times New Roman" w:hAnsi="Times New Roman"/>
          <w:bCs/>
          <w:sz w:val="28"/>
          <w:szCs w:val="28"/>
        </w:rPr>
        <w:t xml:space="preserve">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xml:space="preserve">: чтение текста (учебника, </w:t>
      </w:r>
      <w:proofErr w:type="gramStart"/>
      <w:r>
        <w:rPr>
          <w:rFonts w:ascii="Times New Roman" w:hAnsi="Times New Roman"/>
          <w:bCs/>
          <w:sz w:val="28"/>
          <w:szCs w:val="28"/>
        </w:rPr>
        <w:t>первоисточника,  дополнительной</w:t>
      </w:r>
      <w:proofErr w:type="gramEnd"/>
      <w:r>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 xml:space="preserve">для формирования </w:t>
      </w:r>
      <w:proofErr w:type="gramStart"/>
      <w:r>
        <w:rPr>
          <w:rFonts w:ascii="Times New Roman" w:hAnsi="Times New Roman"/>
          <w:bCs/>
          <w:i/>
          <w:iCs/>
          <w:sz w:val="28"/>
          <w:szCs w:val="28"/>
        </w:rPr>
        <w:t>умений</w:t>
      </w:r>
      <w:r>
        <w:rPr>
          <w:rFonts w:ascii="Times New Roman" w:hAnsi="Times New Roman"/>
          <w:bCs/>
          <w:sz w:val="28"/>
          <w:szCs w:val="28"/>
        </w:rPr>
        <w:t xml:space="preserve">:   </w:t>
      </w:r>
      <w:proofErr w:type="gramEnd"/>
      <w:r>
        <w:rPr>
          <w:rFonts w:ascii="Times New Roman" w:hAnsi="Times New Roman"/>
          <w:bCs/>
          <w:sz w:val="28"/>
          <w:szCs w:val="28"/>
        </w:rPr>
        <w:t>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Контроль самостоятельной работы и оценка ее результатов </w:t>
      </w:r>
      <w:proofErr w:type="gramStart"/>
      <w:r>
        <w:rPr>
          <w:rFonts w:ascii="Times New Roman" w:hAnsi="Times New Roman"/>
          <w:bCs/>
          <w:sz w:val="28"/>
          <w:szCs w:val="28"/>
        </w:rPr>
        <w:t>организуется</w:t>
      </w:r>
      <w:proofErr w:type="gramEnd"/>
      <w:r>
        <w:rPr>
          <w:rFonts w:ascii="Times New Roman" w:hAnsi="Times New Roman"/>
          <w:bCs/>
          <w:sz w:val="28"/>
          <w:szCs w:val="28"/>
        </w:rPr>
        <w:t xml:space="preserve">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w:t>
      </w:r>
      <w:proofErr w:type="gramStart"/>
      <w:r>
        <w:rPr>
          <w:bCs/>
          <w:sz w:val="28"/>
          <w:szCs w:val="28"/>
        </w:rPr>
        <w:t xml:space="preserve">тестированию,  </w:t>
      </w:r>
      <w:r>
        <w:rPr>
          <w:sz w:val="28"/>
          <w:szCs w:val="28"/>
        </w:rPr>
        <w:t>проработка</w:t>
      </w:r>
      <w:proofErr w:type="gramEnd"/>
      <w:r>
        <w:rPr>
          <w:sz w:val="28"/>
          <w:szCs w:val="28"/>
        </w:rPr>
        <w:t xml:space="preserve">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Pr>
          <w:rFonts w:ascii="Times New Roman" w:hAnsi="Times New Roman"/>
          <w:bCs/>
          <w:sz w:val="28"/>
          <w:szCs w:val="28"/>
        </w:rPr>
        <w:t>подготовка  докладов</w:t>
      </w:r>
      <w:proofErr w:type="gramEnd"/>
      <w:r>
        <w:rPr>
          <w:rFonts w:ascii="Times New Roman" w:hAnsi="Times New Roman"/>
          <w:bCs/>
          <w:sz w:val="28"/>
          <w:szCs w:val="28"/>
        </w:rPr>
        <w:t>, тезисов и информационных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xml:space="preserve">» призвано не </w:t>
      </w:r>
      <w:proofErr w:type="gramStart"/>
      <w:r>
        <w:rPr>
          <w:rFonts w:ascii="Times New Roman" w:hAnsi="Times New Roman"/>
          <w:sz w:val="28"/>
          <w:szCs w:val="28"/>
        </w:rPr>
        <w:t>только  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Pr>
          <w:rFonts w:ascii="Times New Roman" w:hAnsi="Times New Roman"/>
          <w:sz w:val="28"/>
          <w:szCs w:val="28"/>
        </w:rPr>
        <w:t>далее  чтение</w:t>
      </w:r>
      <w:proofErr w:type="gramEnd"/>
      <w:r>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При  подготовке</w:t>
      </w:r>
      <w:proofErr w:type="gramEnd"/>
      <w:r>
        <w:rPr>
          <w:rFonts w:ascii="Times New Roman" w:hAnsi="Times New Roman"/>
          <w:sz w:val="28"/>
          <w:szCs w:val="28"/>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Pr>
          <w:rFonts w:ascii="Times New Roman" w:hAnsi="Times New Roman"/>
          <w:sz w:val="28"/>
          <w:szCs w:val="28"/>
        </w:rPr>
        <w:t>выступления  с</w:t>
      </w:r>
      <w:proofErr w:type="gramEnd"/>
      <w:r>
        <w:rPr>
          <w:rFonts w:ascii="Times New Roman" w:hAnsi="Times New Roman"/>
          <w:sz w:val="28"/>
          <w:szCs w:val="28"/>
        </w:rPr>
        <w:t xml:space="preserve">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Pr>
          <w:rFonts w:ascii="Times New Roman" w:hAnsi="Times New Roman"/>
          <w:sz w:val="28"/>
          <w:szCs w:val="28"/>
        </w:rPr>
        <w:t>беседе  –</w:t>
      </w:r>
      <w:proofErr w:type="gramEnd"/>
      <w:r>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w:t>
      </w:r>
      <w:proofErr w:type="gramStart"/>
      <w:r>
        <w:rPr>
          <w:rFonts w:ascii="Times New Roman" w:hAnsi="Times New Roman"/>
          <w:sz w:val="28"/>
          <w:szCs w:val="28"/>
        </w:rPr>
        <w:t>самостоятельность  в</w:t>
      </w:r>
      <w:proofErr w:type="gramEnd"/>
      <w:r>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Приводимые докладчиком примеры и факты должны быть существенными, по возможности перекликаться с профилем обучения. Примеры </w:t>
      </w:r>
      <w:proofErr w:type="gramStart"/>
      <w:r>
        <w:rPr>
          <w:rFonts w:ascii="Times New Roman" w:hAnsi="Times New Roman"/>
          <w:sz w:val="28"/>
          <w:szCs w:val="28"/>
        </w:rPr>
        <w:t>из  области</w:t>
      </w:r>
      <w:proofErr w:type="gramEnd"/>
      <w:r>
        <w:rPr>
          <w:rFonts w:ascii="Times New Roman" w:hAnsi="Times New Roman"/>
          <w:sz w:val="28"/>
          <w:szCs w:val="28"/>
        </w:rPr>
        <w:t xml:space="preserve">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w:t>
      </w:r>
      <w:proofErr w:type="gramStart"/>
      <w:r>
        <w:rPr>
          <w:rFonts w:ascii="Times New Roman" w:hAnsi="Times New Roman"/>
          <w:sz w:val="28"/>
          <w:szCs w:val="28"/>
        </w:rPr>
        <w:t>возможности  близкие</w:t>
      </w:r>
      <w:proofErr w:type="gramEnd"/>
      <w:r>
        <w:rPr>
          <w:rFonts w:ascii="Times New Roman" w:hAnsi="Times New Roman"/>
          <w:sz w:val="28"/>
          <w:szCs w:val="28"/>
        </w:rPr>
        <w:t xml:space="preserve">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Обычно используются следующие разновидности рефератов: </w:t>
      </w:r>
      <w:proofErr w:type="gramStart"/>
      <w:r>
        <w:rPr>
          <w:rFonts w:ascii="Times New Roman" w:hAnsi="Times New Roman"/>
          <w:color w:val="000000"/>
          <w:sz w:val="28"/>
          <w:szCs w:val="28"/>
        </w:rPr>
        <w:t>учебные,  контрольные</w:t>
      </w:r>
      <w:proofErr w:type="gramEnd"/>
      <w:r>
        <w:rPr>
          <w:rFonts w:ascii="Times New Roman" w:hAnsi="Times New Roman"/>
          <w:color w:val="000000"/>
          <w:sz w:val="28"/>
          <w:szCs w:val="28"/>
        </w:rPr>
        <w:t xml:space="preserve">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Pr>
          <w:rFonts w:ascii="Times New Roman" w:hAnsi="Times New Roman"/>
          <w:color w:val="000000"/>
          <w:sz w:val="28"/>
          <w:szCs w:val="28"/>
        </w:rPr>
        <w:t>студенты  используют</w:t>
      </w:r>
      <w:proofErr w:type="gramEnd"/>
      <w:r>
        <w:rPr>
          <w:rFonts w:ascii="Times New Roman" w:hAnsi="Times New Roman"/>
          <w:color w:val="000000"/>
          <w:sz w:val="28"/>
          <w:szCs w:val="28"/>
        </w:rPr>
        <w:t xml:space="preserve">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Контрольные рефераты это</w:t>
      </w:r>
      <w:proofErr w:type="gramEnd"/>
      <w:r>
        <w:rPr>
          <w:rFonts w:ascii="Times New Roman" w:hAnsi="Times New Roman"/>
          <w:color w:val="000000"/>
          <w:sz w:val="28"/>
          <w:szCs w:val="28"/>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Pr>
          <w:rFonts w:ascii="Times New Roman" w:hAnsi="Times New Roman"/>
          <w:sz w:val="28"/>
          <w:szCs w:val="28"/>
        </w:rPr>
        <w:t>этапа  -</w:t>
      </w:r>
      <w:proofErr w:type="gramEnd"/>
      <w:r>
        <w:rPr>
          <w:rFonts w:ascii="Times New Roman" w:hAnsi="Times New Roman"/>
          <w:sz w:val="28"/>
          <w:szCs w:val="28"/>
        </w:rPr>
        <w:t xml:space="preserve"> систематизация и переработка знаний. Систематизировать полученный </w:t>
      </w:r>
      <w:proofErr w:type="gramStart"/>
      <w:r>
        <w:rPr>
          <w:rFonts w:ascii="Times New Roman" w:hAnsi="Times New Roman"/>
          <w:sz w:val="28"/>
          <w:szCs w:val="28"/>
        </w:rPr>
        <w:t>материал  -</w:t>
      </w:r>
      <w:proofErr w:type="gramEnd"/>
      <w:r>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w:t>
      </w:r>
      <w:proofErr w:type="gramStart"/>
      <w:r>
        <w:rPr>
          <w:rFonts w:ascii="Times New Roman" w:hAnsi="Times New Roman"/>
          <w:sz w:val="28"/>
          <w:szCs w:val="28"/>
        </w:rPr>
        <w:t>по  предложенному</w:t>
      </w:r>
      <w:proofErr w:type="gramEnd"/>
      <w:r>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Pr>
          <w:rFonts w:ascii="Times New Roman" w:hAnsi="Times New Roman"/>
          <w:sz w:val="28"/>
          <w:szCs w:val="28"/>
        </w:rPr>
        <w:t>подходы  к</w:t>
      </w:r>
      <w:proofErr w:type="gramEnd"/>
      <w:r>
        <w:rPr>
          <w:rFonts w:ascii="Times New Roman" w:hAnsi="Times New Roman"/>
          <w:sz w:val="28"/>
          <w:szCs w:val="28"/>
        </w:rPr>
        <w:t xml:space="preserve">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w:t>
      </w:r>
      <w:proofErr w:type="gramStart"/>
      <w:r>
        <w:rPr>
          <w:rFonts w:ascii="Times New Roman" w:hAnsi="Times New Roman"/>
          <w:sz w:val="28"/>
          <w:szCs w:val="28"/>
        </w:rPr>
        <w:t>основных  тезисов</w:t>
      </w:r>
      <w:proofErr w:type="gramEnd"/>
      <w:r>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w:t>
      </w:r>
      <w:proofErr w:type="gramStart"/>
      <w:r>
        <w:rPr>
          <w:rFonts w:ascii="Times New Roman" w:hAnsi="Times New Roman"/>
          <w:sz w:val="28"/>
          <w:szCs w:val="28"/>
        </w:rPr>
        <w:t>использованных  источников</w:t>
      </w:r>
      <w:proofErr w:type="gramEnd"/>
      <w:r>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w:t>
      </w:r>
      <w:proofErr w:type="gramStart"/>
      <w:r>
        <w:rPr>
          <w:rFonts w:ascii="Times New Roman" w:hAnsi="Times New Roman"/>
          <w:sz w:val="28"/>
          <w:szCs w:val="28"/>
        </w:rPr>
        <w:t>реферата  может</w:t>
      </w:r>
      <w:proofErr w:type="gramEnd"/>
      <w:r>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Pr>
          <w:rFonts w:ascii="Times New Roman" w:hAnsi="Times New Roman"/>
          <w:sz w:val="28"/>
          <w:szCs w:val="28"/>
        </w:rPr>
        <w:t>заключение  не</w:t>
      </w:r>
      <w:proofErr w:type="gramEnd"/>
      <w:r>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Pr>
          <w:rFonts w:ascii="Times New Roman" w:hAnsi="Times New Roman"/>
          <w:sz w:val="28"/>
          <w:szCs w:val="28"/>
        </w:rPr>
        <w:t>подразделов  -</w:t>
      </w:r>
      <w:proofErr w:type="gramEnd"/>
      <w:r>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Список использованных источников должен иметь не менее </w:t>
      </w:r>
      <w:proofErr w:type="gramStart"/>
      <w:r>
        <w:rPr>
          <w:rFonts w:ascii="Times New Roman" w:hAnsi="Times New Roman"/>
          <w:color w:val="000000"/>
          <w:sz w:val="28"/>
          <w:szCs w:val="28"/>
        </w:rPr>
        <w:t>10  библиографических</w:t>
      </w:r>
      <w:proofErr w:type="gramEnd"/>
      <w:r>
        <w:rPr>
          <w:rFonts w:ascii="Times New Roman" w:hAnsi="Times New Roman"/>
          <w:color w:val="000000"/>
          <w:sz w:val="28"/>
          <w:szCs w:val="28"/>
        </w:rPr>
        <w:t xml:space="preserve">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10"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xml:space="preserve">- Для обеспечения разнообразия следует использовать разные виды слайдов: с текстом; с </w:t>
            </w:r>
            <w:proofErr w:type="gramStart"/>
            <w:r>
              <w:rPr>
                <w:rFonts w:ascii="Times New Roman" w:hAnsi="Times New Roman"/>
                <w:sz w:val="28"/>
                <w:szCs w:val="28"/>
              </w:rPr>
              <w:t>таблицами;  с</w:t>
            </w:r>
            <w:proofErr w:type="gramEnd"/>
            <w:r>
              <w:rPr>
                <w:rFonts w:ascii="Times New Roman" w:hAnsi="Times New Roman"/>
                <w:sz w:val="28"/>
                <w:szCs w:val="28"/>
              </w:rPr>
              <w:t xml:space="preserve">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его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очной форме обучения</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5"/>
        <w:gridCol w:w="1062"/>
        <w:gridCol w:w="6266"/>
        <w:gridCol w:w="1231"/>
      </w:tblGrid>
      <w:tr w:rsidR="009D3230" w:rsidRPr="009D3230" w:rsidTr="009D3230">
        <w:trPr>
          <w:trHeight w:val="520"/>
          <w:tblHeader/>
        </w:trPr>
        <w:tc>
          <w:tcPr>
            <w:tcW w:w="1115"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2"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266"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3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266" w:type="dxa"/>
            <w:shd w:val="clear" w:color="auto" w:fill="auto"/>
          </w:tcPr>
          <w:p w:rsidR="009D3230" w:rsidRPr="009D3230" w:rsidRDefault="009D3230" w:rsidP="009D3230">
            <w:pPr>
              <w:spacing w:after="0" w:line="240" w:lineRule="auto"/>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266"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bl>
    <w:p w:rsidR="003F4F23" w:rsidRPr="004041D9" w:rsidRDefault="003F4F23" w:rsidP="004041D9">
      <w:pPr>
        <w:pStyle w:val="ReportMain0"/>
        <w:keepNext/>
        <w:suppressAutoHyphens/>
        <w:spacing w:before="360" w:after="360"/>
        <w:ind w:firstLine="709"/>
        <w:jc w:val="both"/>
        <w:outlineLvl w:val="1"/>
        <w:rPr>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23"/>
        <w:gridCol w:w="1069"/>
        <w:gridCol w:w="6313"/>
        <w:gridCol w:w="1240"/>
      </w:tblGrid>
      <w:tr w:rsidR="009D3230" w:rsidRPr="009D3230" w:rsidTr="009D3230">
        <w:trPr>
          <w:trHeight w:val="477"/>
          <w:tblHeader/>
        </w:trPr>
        <w:tc>
          <w:tcPr>
            <w:tcW w:w="112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9"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31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4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477"/>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1 </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7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2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313" w:type="dxa"/>
            <w:shd w:val="clear" w:color="auto" w:fill="auto"/>
          </w:tcPr>
          <w:p w:rsidR="009D3230" w:rsidRPr="009D3230" w:rsidRDefault="009D3230" w:rsidP="009D3230">
            <w:pPr>
              <w:spacing w:after="0"/>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60"/>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543"/>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313"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xml:space="preserve">» устанавливается в следующих формах: включение </w:t>
      </w:r>
      <w:proofErr w:type="gramStart"/>
      <w:r>
        <w:rPr>
          <w:rFonts w:ascii="Times New Roman" w:hAnsi="Times New Roman"/>
          <w:sz w:val="28"/>
          <w:szCs w:val="28"/>
        </w:rPr>
        <w:t>вопросов</w:t>
      </w:r>
      <w:proofErr w:type="gramEnd"/>
      <w:r>
        <w:rPr>
          <w:rFonts w:ascii="Times New Roman" w:hAnsi="Times New Roman"/>
          <w:sz w:val="28"/>
          <w:szCs w:val="28"/>
        </w:rPr>
        <w:t xml:space="preserve">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Pr>
          <w:rFonts w:ascii="Times New Roman" w:hAnsi="Times New Roman"/>
          <w:sz w:val="28"/>
          <w:szCs w:val="28"/>
        </w:rPr>
        <w:t>материала;  умения</w:t>
      </w:r>
      <w:proofErr w:type="gramEnd"/>
      <w:r>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w:t>
      </w:r>
      <w:proofErr w:type="spellStart"/>
      <w:r w:rsidRPr="00672214">
        <w:rPr>
          <w:b/>
          <w:sz w:val="28"/>
          <w:szCs w:val="28"/>
        </w:rPr>
        <w:t>незачтено</w:t>
      </w:r>
      <w:proofErr w:type="spellEnd"/>
      <w:r w:rsidRPr="00672214">
        <w:rPr>
          <w:b/>
          <w:sz w:val="28"/>
          <w:szCs w:val="28"/>
        </w:rPr>
        <w:t>»</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4"/>
          <w:lang w:eastAsia="en-US"/>
        </w:rPr>
        <w:t xml:space="preserve"> </w:t>
      </w:r>
      <w:r w:rsidRPr="004665B3">
        <w:rPr>
          <w:rFonts w:ascii="Times New Roman" w:eastAsia="Calibri" w:hAnsi="Times New Roman" w:cs="Times New Roman"/>
          <w:b/>
          <w:sz w:val="28"/>
          <w:szCs w:val="28"/>
          <w:lang w:eastAsia="en-US"/>
        </w:rPr>
        <w:t>Основная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65B3">
        <w:rPr>
          <w:rFonts w:ascii="Times New Roman" w:eastAsia="Calibri" w:hAnsi="Times New Roman" w:cs="Times New Roman"/>
          <w:bCs/>
          <w:color w:val="000000"/>
          <w:sz w:val="28"/>
          <w:szCs w:val="28"/>
          <w:lang w:eastAsia="en-US"/>
        </w:rPr>
        <w:t>Международные валютно-кредитные отношения</w:t>
      </w:r>
      <w:r w:rsidRPr="004665B3">
        <w:rPr>
          <w:rFonts w:ascii="Times New Roman" w:eastAsia="Calibri" w:hAnsi="Times New Roman" w:cs="Times New Roman"/>
          <w:color w:val="000000"/>
          <w:sz w:val="28"/>
          <w:szCs w:val="28"/>
          <w:lang w:eastAsia="en-US"/>
        </w:rPr>
        <w:t xml:space="preserve">: учебник для вузов </w:t>
      </w:r>
      <w:r w:rsidRPr="004665B3">
        <w:rPr>
          <w:rFonts w:ascii="Times New Roman" w:eastAsia="Calibri" w:hAnsi="Times New Roman" w:cs="Times New Roman"/>
          <w:sz w:val="28"/>
          <w:szCs w:val="28"/>
          <w:lang w:eastAsia="en-US"/>
        </w:rPr>
        <w:t>[Электронный ресурс]</w:t>
      </w:r>
      <w:r w:rsidRPr="004665B3">
        <w:rPr>
          <w:rFonts w:ascii="Times New Roman" w:eastAsia="Calibri" w:hAnsi="Times New Roman" w:cs="Times New Roman"/>
          <w:color w:val="000000"/>
          <w:sz w:val="28"/>
          <w:szCs w:val="28"/>
          <w:lang w:eastAsia="en-US"/>
        </w:rPr>
        <w:t xml:space="preserve"> / под ред. Л.Н. </w:t>
      </w:r>
      <w:proofErr w:type="gramStart"/>
      <w:r w:rsidRPr="004665B3">
        <w:rPr>
          <w:rFonts w:ascii="Times New Roman" w:eastAsia="Calibri" w:hAnsi="Times New Roman" w:cs="Times New Roman"/>
          <w:color w:val="000000"/>
          <w:sz w:val="28"/>
          <w:szCs w:val="28"/>
          <w:lang w:eastAsia="en-US"/>
        </w:rPr>
        <w:t>Красавиной.-</w:t>
      </w:r>
      <w:proofErr w:type="gramEnd"/>
      <w:r w:rsidRPr="004665B3">
        <w:rPr>
          <w:rFonts w:ascii="Times New Roman" w:eastAsia="Calibri" w:hAnsi="Times New Roman" w:cs="Times New Roman"/>
          <w:color w:val="000000"/>
          <w:sz w:val="28"/>
          <w:szCs w:val="28"/>
          <w:lang w:eastAsia="en-US"/>
        </w:rPr>
        <w:t xml:space="preserve"> 4-е изд., </w:t>
      </w:r>
      <w:proofErr w:type="spellStart"/>
      <w:r w:rsidRPr="004665B3">
        <w:rPr>
          <w:rFonts w:ascii="Times New Roman" w:eastAsia="Calibri" w:hAnsi="Times New Roman" w:cs="Times New Roman"/>
          <w:color w:val="000000"/>
          <w:sz w:val="28"/>
          <w:szCs w:val="28"/>
          <w:lang w:eastAsia="en-US"/>
        </w:rPr>
        <w:t>перераб</w:t>
      </w:r>
      <w:proofErr w:type="spellEnd"/>
      <w:r w:rsidRPr="004665B3">
        <w:rPr>
          <w:rFonts w:ascii="Times New Roman" w:eastAsia="Calibri" w:hAnsi="Times New Roman" w:cs="Times New Roman"/>
          <w:color w:val="000000"/>
          <w:sz w:val="28"/>
          <w:szCs w:val="28"/>
          <w:lang w:eastAsia="en-US"/>
        </w:rPr>
        <w:t xml:space="preserve">. и доп. – М.: </w:t>
      </w:r>
      <w:proofErr w:type="spellStart"/>
      <w:r w:rsidRPr="004665B3">
        <w:rPr>
          <w:rFonts w:ascii="Times New Roman" w:eastAsia="Calibri" w:hAnsi="Times New Roman" w:cs="Times New Roman"/>
          <w:color w:val="000000"/>
          <w:sz w:val="28"/>
          <w:szCs w:val="28"/>
          <w:lang w:eastAsia="en-US"/>
        </w:rPr>
        <w:t>Юрайт</w:t>
      </w:r>
      <w:proofErr w:type="spellEnd"/>
      <w:r w:rsidRPr="004665B3">
        <w:rPr>
          <w:rFonts w:ascii="Times New Roman" w:eastAsia="Calibri" w:hAnsi="Times New Roman" w:cs="Times New Roman"/>
          <w:color w:val="000000"/>
          <w:sz w:val="28"/>
          <w:szCs w:val="28"/>
          <w:lang w:eastAsia="en-US"/>
        </w:rPr>
        <w:t>, 2015. - 543с. - ISBN 978-5-9916-5029-8.</w:t>
      </w:r>
      <w:r w:rsidRPr="004665B3">
        <w:rPr>
          <w:rFonts w:ascii="Times New Roman" w:eastAsia="Calibri" w:hAnsi="Times New Roman" w:cs="Times New Roman"/>
          <w:sz w:val="28"/>
          <w:szCs w:val="28"/>
          <w:lang w:eastAsia="en-US"/>
        </w:rPr>
        <w:t xml:space="preserve"> Режим доступа: </w:t>
      </w:r>
      <w:hyperlink r:id="rId11" w:history="1">
        <w:r w:rsidRPr="004665B3">
          <w:rPr>
            <w:rFonts w:ascii="Times New Roman" w:eastAsia="Calibri" w:hAnsi="Times New Roman" w:cs="Times New Roman"/>
            <w:color w:val="0000FF"/>
            <w:sz w:val="28"/>
            <w:szCs w:val="28"/>
            <w:u w:val="single"/>
            <w:lang w:eastAsia="en-US"/>
          </w:rPr>
          <w:t>http://biblioclub.ru/book/mezhdunarodnye-valyutno-kreditnye-otnosheniya-374826</w:t>
        </w:r>
      </w:hyperlink>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color w:val="0000FF"/>
          <w:sz w:val="28"/>
          <w:szCs w:val="28"/>
          <w:u w:val="single"/>
          <w:lang w:eastAsia="en-US"/>
        </w:rPr>
        <w:t xml:space="preserve"> </w:t>
      </w: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8"/>
          <w:szCs w:val="28"/>
          <w:lang w:eastAsia="en-US"/>
        </w:rPr>
        <w:t xml:space="preserve"> Дополнительная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sz w:val="28"/>
          <w:szCs w:val="28"/>
          <w:shd w:val="clear" w:color="auto" w:fill="FFFFFF"/>
          <w:lang w:eastAsia="en-US"/>
        </w:rPr>
        <w:t xml:space="preserve">Международные экономические отношения: Уч. для ст. вузов, </w:t>
      </w:r>
      <w:proofErr w:type="spellStart"/>
      <w:r w:rsidRPr="004665B3">
        <w:rPr>
          <w:rFonts w:ascii="Times New Roman" w:eastAsia="Calibri" w:hAnsi="Times New Roman" w:cs="Times New Roman"/>
          <w:sz w:val="28"/>
          <w:szCs w:val="28"/>
          <w:shd w:val="clear" w:color="auto" w:fill="FFFFFF"/>
          <w:lang w:eastAsia="en-US"/>
        </w:rPr>
        <w:t>обуч</w:t>
      </w:r>
      <w:proofErr w:type="spellEnd"/>
      <w:r w:rsidRPr="004665B3">
        <w:rPr>
          <w:rFonts w:ascii="Times New Roman" w:eastAsia="Calibri" w:hAnsi="Times New Roman" w:cs="Times New Roman"/>
          <w:sz w:val="28"/>
          <w:szCs w:val="28"/>
          <w:shd w:val="clear" w:color="auto" w:fill="FFFFFF"/>
          <w:lang w:eastAsia="en-US"/>
        </w:rPr>
        <w:t xml:space="preserve">. по </w:t>
      </w:r>
      <w:proofErr w:type="spellStart"/>
      <w:r w:rsidRPr="004665B3">
        <w:rPr>
          <w:rFonts w:ascii="Times New Roman" w:eastAsia="Calibri" w:hAnsi="Times New Roman" w:cs="Times New Roman"/>
          <w:sz w:val="28"/>
          <w:szCs w:val="28"/>
          <w:shd w:val="clear" w:color="auto" w:fill="FFFFFF"/>
          <w:lang w:eastAsia="en-US"/>
        </w:rPr>
        <w:t>экон</w:t>
      </w:r>
      <w:proofErr w:type="spellEnd"/>
      <w:r w:rsidRPr="004665B3">
        <w:rPr>
          <w:rFonts w:ascii="Times New Roman" w:eastAsia="Calibri" w:hAnsi="Times New Roman" w:cs="Times New Roman"/>
          <w:sz w:val="28"/>
          <w:szCs w:val="28"/>
          <w:shd w:val="clear" w:color="auto" w:fill="FFFFFF"/>
          <w:lang w:eastAsia="en-US"/>
        </w:rPr>
        <w:t>. спец.</w:t>
      </w:r>
      <w:r w:rsidRPr="004665B3">
        <w:rPr>
          <w:rFonts w:ascii="Times New Roman" w:eastAsia="Calibri" w:hAnsi="Times New Roman" w:cs="Times New Roman"/>
          <w:sz w:val="28"/>
          <w:szCs w:val="28"/>
          <w:lang w:eastAsia="en-US"/>
        </w:rPr>
        <w:t xml:space="preserve"> [Электронный ресурс]</w:t>
      </w:r>
      <w:r w:rsidRPr="004665B3">
        <w:rPr>
          <w:rFonts w:ascii="Times New Roman" w:eastAsia="Calibri" w:hAnsi="Times New Roman" w:cs="Times New Roman"/>
          <w:sz w:val="28"/>
          <w:szCs w:val="28"/>
          <w:shd w:val="clear" w:color="auto" w:fill="FFFFFF"/>
          <w:lang w:eastAsia="en-US"/>
        </w:rPr>
        <w:t xml:space="preserve"> / Под ред. В.Е. Рыбалкин. - 10 </w:t>
      </w:r>
      <w:proofErr w:type="spellStart"/>
      <w:r w:rsidRPr="004665B3">
        <w:rPr>
          <w:rFonts w:ascii="Times New Roman" w:eastAsia="Calibri" w:hAnsi="Times New Roman" w:cs="Times New Roman"/>
          <w:sz w:val="28"/>
          <w:szCs w:val="28"/>
          <w:shd w:val="clear" w:color="auto" w:fill="FFFFFF"/>
          <w:lang w:eastAsia="en-US"/>
        </w:rPr>
        <w:t>изд</w:t>
      </w:r>
      <w:proofErr w:type="spellEnd"/>
      <w:r w:rsidRPr="004665B3">
        <w:rPr>
          <w:rFonts w:ascii="Times New Roman" w:eastAsia="Calibri" w:hAnsi="Times New Roman" w:cs="Times New Roman"/>
          <w:sz w:val="28"/>
          <w:szCs w:val="28"/>
          <w:shd w:val="clear" w:color="auto" w:fill="FFFFFF"/>
          <w:lang w:eastAsia="en-US"/>
        </w:rPr>
        <w:t xml:space="preserve">, </w:t>
      </w:r>
      <w:proofErr w:type="spellStart"/>
      <w:r w:rsidRPr="004665B3">
        <w:rPr>
          <w:rFonts w:ascii="Times New Roman" w:eastAsia="Calibri" w:hAnsi="Times New Roman" w:cs="Times New Roman"/>
          <w:sz w:val="28"/>
          <w:szCs w:val="28"/>
          <w:shd w:val="clear" w:color="auto" w:fill="FFFFFF"/>
          <w:lang w:eastAsia="en-US"/>
        </w:rPr>
        <w:t>перераб</w:t>
      </w:r>
      <w:proofErr w:type="spellEnd"/>
      <w:proofErr w:type="gramStart"/>
      <w:r w:rsidRPr="004665B3">
        <w:rPr>
          <w:rFonts w:ascii="Times New Roman" w:eastAsia="Calibri" w:hAnsi="Times New Roman" w:cs="Times New Roman"/>
          <w:sz w:val="28"/>
          <w:szCs w:val="28"/>
          <w:shd w:val="clear" w:color="auto" w:fill="FFFFFF"/>
          <w:lang w:eastAsia="en-US"/>
        </w:rPr>
        <w:t>.</w:t>
      </w:r>
      <w:proofErr w:type="gramEnd"/>
      <w:r w:rsidRPr="004665B3">
        <w:rPr>
          <w:rFonts w:ascii="Times New Roman" w:eastAsia="Calibri" w:hAnsi="Times New Roman" w:cs="Times New Roman"/>
          <w:sz w:val="28"/>
          <w:szCs w:val="28"/>
          <w:shd w:val="clear" w:color="auto" w:fill="FFFFFF"/>
          <w:lang w:eastAsia="en-US"/>
        </w:rPr>
        <w:t xml:space="preserve"> и доп. – М.: ЮНИТИ-ДАНА, 2015 - 704 с: ISBN 978-5-238-02619-0 - </w:t>
      </w:r>
      <w:r w:rsidRPr="004665B3">
        <w:rPr>
          <w:rFonts w:ascii="Times New Roman" w:eastAsia="Calibri" w:hAnsi="Times New Roman" w:cs="Times New Roman"/>
          <w:sz w:val="28"/>
          <w:szCs w:val="28"/>
          <w:lang w:eastAsia="en-US"/>
        </w:rPr>
        <w:t xml:space="preserve">Режим доступа: </w:t>
      </w:r>
      <w:hyperlink r:id="rId12" w:history="1">
        <w:r w:rsidRPr="004665B3">
          <w:rPr>
            <w:rFonts w:ascii="Times New Roman" w:eastAsia="Calibri" w:hAnsi="Times New Roman" w:cs="Times New Roman"/>
            <w:color w:val="0000FF"/>
            <w:sz w:val="28"/>
            <w:szCs w:val="28"/>
            <w:u w:val="single"/>
            <w:lang w:eastAsia="en-US"/>
          </w:rPr>
          <w:t>http://znanium.com/spec/catalog/author/?id=67d425da-374f-11e4-b05e-00237dd2fde2</w:t>
        </w:r>
      </w:hyperlink>
      <w:r w:rsidRPr="004665B3">
        <w:rPr>
          <w:rFonts w:ascii="Times New Roman" w:eastAsia="Calibri" w:hAnsi="Times New Roman" w:cs="Times New Roman"/>
          <w:sz w:val="28"/>
          <w:szCs w:val="28"/>
          <w:u w:val="single"/>
          <w:lang w:eastAsia="en-US"/>
        </w:rPr>
        <w:t xml:space="preserve"> </w:t>
      </w:r>
    </w:p>
    <w:p w:rsidR="008429D4" w:rsidRPr="004665B3" w:rsidRDefault="008429D4" w:rsidP="008429D4">
      <w:pPr>
        <w:tabs>
          <w:tab w:val="left" w:pos="1134"/>
        </w:tabs>
        <w:ind w:right="2"/>
        <w:jc w:val="both"/>
        <w:rPr>
          <w:sz w:val="28"/>
          <w:szCs w:val="28"/>
        </w:rPr>
      </w:pPr>
    </w:p>
    <w:sectPr w:rsidR="008429D4" w:rsidRPr="004665B3"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30" w:rsidRDefault="009D3230" w:rsidP="00141F95">
      <w:pPr>
        <w:spacing w:after="0" w:line="240" w:lineRule="auto"/>
      </w:pPr>
      <w:r>
        <w:separator/>
      </w:r>
    </w:p>
  </w:endnote>
  <w:endnote w:type="continuationSeparator" w:id="0">
    <w:p w:rsidR="009D3230" w:rsidRDefault="009D323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rsidP="00313FFD">
    <w:pPr>
      <w:pStyle w:val="ReportMain0"/>
      <w:jc w:val="right"/>
      <w:rPr>
        <w:color w:val="FF0000"/>
        <w:sz w:val="20"/>
      </w:rPr>
    </w:pPr>
  </w:p>
  <w:p w:rsidR="0013365D" w:rsidRPr="00A337DE" w:rsidRDefault="0013365D" w:rsidP="00313FFD">
    <w:pPr>
      <w:pStyle w:val="ReportMain0"/>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9847938"/>
      <w:docPartObj>
        <w:docPartGallery w:val="Page Numbers (Bottom of Page)"/>
        <w:docPartUnique/>
      </w:docPartObj>
    </w:sdtPr>
    <w:sdtEndPr/>
    <w:sdtContent>
      <w:p w:rsidR="009D3230" w:rsidRPr="00E47ED0" w:rsidRDefault="009D323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13365D">
          <w:rPr>
            <w:rFonts w:ascii="Times New Roman" w:hAnsi="Times New Roman"/>
            <w:noProof/>
            <w:sz w:val="28"/>
            <w:szCs w:val="28"/>
          </w:rPr>
          <w:t>20</w:t>
        </w:r>
        <w:r w:rsidRPr="00E47ED0">
          <w:rPr>
            <w:rFonts w:ascii="Times New Roman" w:hAnsi="Times New Roman"/>
            <w:sz w:val="28"/>
            <w:szCs w:val="28"/>
          </w:rPr>
          <w:fldChar w:fldCharType="end"/>
        </w:r>
      </w:p>
    </w:sdtContent>
  </w:sdt>
  <w:p w:rsidR="009D3230" w:rsidRPr="00E47ED0" w:rsidRDefault="009D323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30" w:rsidRDefault="009D3230" w:rsidP="00141F95">
      <w:pPr>
        <w:spacing w:after="0" w:line="240" w:lineRule="auto"/>
      </w:pPr>
      <w:r>
        <w:separator/>
      </w:r>
    </w:p>
  </w:footnote>
  <w:footnote w:type="continuationSeparator" w:id="0">
    <w:p w:rsidR="009D3230" w:rsidRDefault="009D323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30" w:rsidRDefault="009D32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3365D"/>
    <w:rsid w:val="00141F95"/>
    <w:rsid w:val="001E1188"/>
    <w:rsid w:val="00215F11"/>
    <w:rsid w:val="00225E74"/>
    <w:rsid w:val="002C3BB6"/>
    <w:rsid w:val="00320D7C"/>
    <w:rsid w:val="0032235B"/>
    <w:rsid w:val="003509FD"/>
    <w:rsid w:val="003655F6"/>
    <w:rsid w:val="003F4F23"/>
    <w:rsid w:val="004041D9"/>
    <w:rsid w:val="00425B32"/>
    <w:rsid w:val="004665B3"/>
    <w:rsid w:val="00492CCB"/>
    <w:rsid w:val="004B3854"/>
    <w:rsid w:val="00502BB1"/>
    <w:rsid w:val="0050415B"/>
    <w:rsid w:val="00533C4A"/>
    <w:rsid w:val="00536D1F"/>
    <w:rsid w:val="0055202D"/>
    <w:rsid w:val="00584184"/>
    <w:rsid w:val="005D4C48"/>
    <w:rsid w:val="005E7BA8"/>
    <w:rsid w:val="006A5391"/>
    <w:rsid w:val="00710FBA"/>
    <w:rsid w:val="0072141B"/>
    <w:rsid w:val="00747EBA"/>
    <w:rsid w:val="00763D99"/>
    <w:rsid w:val="007663DC"/>
    <w:rsid w:val="007C6F0D"/>
    <w:rsid w:val="00830E8F"/>
    <w:rsid w:val="008429D4"/>
    <w:rsid w:val="00910542"/>
    <w:rsid w:val="009C5EE6"/>
    <w:rsid w:val="009D3230"/>
    <w:rsid w:val="00A05185"/>
    <w:rsid w:val="00AC6AFD"/>
    <w:rsid w:val="00B06C65"/>
    <w:rsid w:val="00B24AE2"/>
    <w:rsid w:val="00BA74A0"/>
    <w:rsid w:val="00BE5132"/>
    <w:rsid w:val="00C045CF"/>
    <w:rsid w:val="00C2065F"/>
    <w:rsid w:val="00C206A3"/>
    <w:rsid w:val="00C3243A"/>
    <w:rsid w:val="00C34863"/>
    <w:rsid w:val="00C83845"/>
    <w:rsid w:val="00D2556C"/>
    <w:rsid w:val="00D313A5"/>
    <w:rsid w:val="00DB7E2A"/>
    <w:rsid w:val="00DE6DE0"/>
    <w:rsid w:val="00E041A9"/>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28E5-AEE1-4E9E-A9C5-FD875690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spec/catalog/author/?id=67d425da-374f-11e4-b05e-00237dd2fd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book/mezhdunarodnye-valyutno-kreditnye-otnosheniya-374826" TargetMode="External"/><Relationship Id="rId5" Type="http://schemas.openxmlformats.org/officeDocument/2006/relationships/footnotes" Target="footnotes.xml"/><Relationship Id="rId10" Type="http://schemas.openxmlformats.org/officeDocument/2006/relationships/hyperlink" Target="http://comp-science.narod.ru/pr_nab.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60914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мвидео</cp:lastModifiedBy>
  <cp:revision>18</cp:revision>
  <cp:lastPrinted>2017-06-09T12:33:00Z</cp:lastPrinted>
  <dcterms:created xsi:type="dcterms:W3CDTF">2017-09-07T16:20:00Z</dcterms:created>
  <dcterms:modified xsi:type="dcterms:W3CDTF">2019-10-22T14:09:00Z</dcterms:modified>
</cp:coreProperties>
</file>