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D566B7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«Б.1.В.ДВ.7.1 Деловое общение»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Бузулук: БГТИ (филиал) ОГУ, 2016.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>«___»______________2016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6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Деловое общение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566B7" w:rsidRPr="00D566B7">
        <w:rPr>
          <w:sz w:val="24"/>
          <w:szCs w:val="24"/>
        </w:rPr>
        <w:t>38.03.01 Экономика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760B56">
        <w:rPr>
          <w:rFonts w:ascii="Times New Roman" w:eastAsia="Times New Roman" w:hAnsi="Times New Roman"/>
          <w:sz w:val="28"/>
          <w:szCs w:val="28"/>
        </w:rPr>
        <w:t>Деловое общ</w:t>
      </w:r>
      <w:r w:rsidR="00760B56">
        <w:rPr>
          <w:rFonts w:ascii="Times New Roman" w:eastAsia="Times New Roman" w:hAnsi="Times New Roman"/>
          <w:sz w:val="28"/>
          <w:szCs w:val="28"/>
        </w:rPr>
        <w:t>е</w:t>
      </w:r>
      <w:r w:rsidR="00760B56">
        <w:rPr>
          <w:rFonts w:ascii="Times New Roman" w:eastAsia="Times New Roman" w:hAnsi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027055">
        <w:rPr>
          <w:sz w:val="28"/>
          <w:szCs w:val="28"/>
        </w:rPr>
        <w:t xml:space="preserve"> деловых отношений, делового общения; природы этики деловых отношений; этики и особенностей деятельности организаций, р</w:t>
      </w:r>
      <w:r w:rsidR="00027055">
        <w:rPr>
          <w:sz w:val="28"/>
          <w:szCs w:val="28"/>
        </w:rPr>
        <w:t>у</w:t>
      </w:r>
      <w:r w:rsidR="00027055">
        <w:rPr>
          <w:sz w:val="28"/>
          <w:szCs w:val="28"/>
        </w:rPr>
        <w:t>ководителей; сущности вербального, невербального дистанционного общ</w:t>
      </w:r>
      <w:r w:rsidR="00027055">
        <w:rPr>
          <w:sz w:val="28"/>
          <w:szCs w:val="28"/>
        </w:rPr>
        <w:t>е</w:t>
      </w:r>
      <w:r w:rsidR="00027055">
        <w:rPr>
          <w:sz w:val="28"/>
          <w:szCs w:val="28"/>
        </w:rPr>
        <w:t>ний; манипуляции в общении; управления общением; правил деловых о</w:t>
      </w:r>
      <w:r w:rsidR="00027055">
        <w:rPr>
          <w:sz w:val="28"/>
          <w:szCs w:val="28"/>
        </w:rPr>
        <w:t>т</w:t>
      </w:r>
      <w:r w:rsidR="00027055">
        <w:rPr>
          <w:sz w:val="28"/>
          <w:szCs w:val="28"/>
        </w:rPr>
        <w:t>ношений; этикета делового человека и деловых отношений.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Default="001970F6" w:rsidP="001970F6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 изучение сущности и особенностей делового общения, основных требований делового общения в процессе деловой беседы, коммерческих переговоров, проведения деловых собраний и совещаний, публичных выступлений; обучение механизмам взаимодействия и преодоления конфликтов в процессе общения; знакомство с разнообразием национальных моделей общения, поведения и различными этическими принципами.</w:t>
      </w:r>
    </w:p>
    <w:p w:rsidR="001970F6" w:rsidRDefault="001970F6" w:rsidP="001970F6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:rsidR="001970F6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>
        <w:t xml:space="preserve">сформировать представление о сущности общения как социально-психологическом механизме взаимодействия; </w:t>
      </w:r>
    </w:p>
    <w:p w:rsidR="001970F6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>
        <w:t>раскрыть содержание, специфику, структуру делового общения;</w:t>
      </w:r>
    </w:p>
    <w:p w:rsidR="001970F6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>
        <w:t xml:space="preserve">сформировать умение пользоваться основными способами и приёмами деловой коммуникации; </w:t>
      </w:r>
    </w:p>
    <w:p w:rsidR="001970F6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>
        <w:t>развить навыки публичного выступления, проведения собраний, совещаний, переговоров, деловых бесед;</w:t>
      </w:r>
    </w:p>
    <w:p w:rsidR="001970F6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>
        <w:t xml:space="preserve">обучить механизмам взаимодействия и преодоления конфликтов в процессе общения; </w:t>
      </w:r>
    </w:p>
    <w:p w:rsidR="001970F6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>
        <w:lastRenderedPageBreak/>
        <w:t>сформировать представление о стилях общения и социально-психологических проблемах руководства, методах снятия психологического напряжения в процессе деловой коммуникации.</w:t>
      </w: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Default="001970F6" w:rsidP="001970F6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970F6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tbl>
      <w:tblPr>
        <w:tblW w:w="11061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886"/>
        <w:gridCol w:w="3175"/>
      </w:tblGrid>
      <w:tr w:rsidR="001970F6" w:rsidTr="001970F6">
        <w:trPr>
          <w:tblHeader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F6" w:rsidRDefault="001970F6">
            <w:pPr>
              <w:pStyle w:val="ReportMain"/>
              <w:suppressAutoHyphens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F6" w:rsidRDefault="001970F6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1970F6" w:rsidTr="001970F6"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>
              <w:rPr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1970F6" w:rsidRDefault="001970F6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этносов, социальных групп и индивидуальных психологических особенностей личности.</w:t>
            </w:r>
          </w:p>
          <w:p w:rsidR="001970F6" w:rsidRDefault="001970F6">
            <w:pPr>
              <w:pStyle w:val="ReportMain"/>
              <w:suppressAutoHyphens/>
            </w:pPr>
            <w:r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</w:pPr>
            <w:r>
              <w:t>ОК-5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970F6" w:rsidTr="001970F6"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>
              <w:rPr>
                <w:szCs w:val="24"/>
              </w:rPr>
              <w:t xml:space="preserve"> способы сбора научной информации;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основы математической и статистической обработки исследуемого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риала; методику работы с современными электронно-вычислительными машинами и ПК; методы обработки данных, необходимых для решения профессиональных задач. </w:t>
            </w:r>
          </w:p>
          <w:p w:rsidR="001970F6" w:rsidRDefault="001970F6">
            <w:pPr>
              <w:pStyle w:val="ReportMain"/>
              <w:keepLine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Уметь: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осуществлять сбор, обработку и анализ информационных данных;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>анализировать данные, необходимые для решения тех или иных профе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сиональных задач  </w:t>
            </w:r>
          </w:p>
          <w:p w:rsidR="001970F6" w:rsidRDefault="001970F6">
            <w:pPr>
              <w:pStyle w:val="ReportMain"/>
              <w:keepLine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Владеть: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технологией сбора первичной и вторичной научной информации;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 методами обработки данных, необходимых для решения профессионал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ных задач, навыками выполнения соответствующих аналитических отчетов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методами сбора данных для выполнения информационного обзора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</w:pPr>
            <w:r>
              <w:t>ПК-7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.</w:t>
      </w:r>
    </w:p>
    <w:tbl>
      <w:tblPr>
        <w:tblpPr w:leftFromText="180" w:rightFromText="180" w:vertAnchor="text" w:horzAnchor="margin" w:tblpXSpec="center" w:tblpY="11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93A08" w:rsidTr="00B93A08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Трудоемкость,</w:t>
            </w:r>
          </w:p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академических часов</w:t>
            </w:r>
          </w:p>
        </w:tc>
      </w:tr>
      <w:tr w:rsidR="00B93A08" w:rsidTr="00B93A08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</w:tr>
      <w:tr w:rsidR="00B93A08" w:rsidTr="00B93A08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практическим занятиям;</w:t>
            </w:r>
          </w:p>
          <w:p w:rsidR="00333814" w:rsidRDefault="00333814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-выполнение эссе</w:t>
            </w:r>
          </w:p>
          <w:p w:rsidR="00F67ABC" w:rsidRDefault="00F67ABC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-подготовка сообщений</w:t>
            </w:r>
          </w:p>
          <w:p w:rsidR="00F67ABC" w:rsidRDefault="00F67ABC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-индивидуальных творческих заданий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коллоквиумам;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рубежному контролю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740F3A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lastRenderedPageBreak/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DA3CD1" w:rsidRDefault="00A628A9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 xml:space="preserve">ческих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монологиче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озвучиваются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A3CD1" w:rsidRDefault="007B14A2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764484" w:rsidTr="00764484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принципы этики деловых отношений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Коммуникативная культура в деловом общении.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Виды делового общения.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Культура речи в деловом общении</w:t>
            </w:r>
            <w:proofErr w:type="gramStart"/>
            <w:r>
              <w:rPr>
                <w:rFonts w:eastAsia="Times New Roman"/>
              </w:rPr>
              <w:t>..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Этика использования средств выразительности деловой речи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D8062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Формы делового общения и правила их реализации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подготовки и проведения служебных совещаний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Правила проведения переговоров с деловыми партнерами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45C4D" w:rsidRDefault="00745C4D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764484" w:rsidRPr="00972AEC" w:rsidRDefault="0076448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764484">
        <w:rPr>
          <w:rFonts w:eastAsia="Times New Roman"/>
          <w:szCs w:val="22"/>
        </w:rPr>
        <w:t>Основные принципы этики деловых отношений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764484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764484">
        <w:rPr>
          <w:szCs w:val="24"/>
        </w:rPr>
        <w:t>Сущность этики деловых отношений. Основные п</w:t>
      </w:r>
      <w:r w:rsidR="00EA6824">
        <w:rPr>
          <w:szCs w:val="24"/>
        </w:rPr>
        <w:t>ринципы этики деловых отношений: авансирование доверием; право на свободу служебного поведения; максимум прогресса; разумное сочетание индивидуального и коллективных начал.</w:t>
      </w:r>
      <w:r w:rsidRPr="00764484">
        <w:rPr>
          <w:szCs w:val="24"/>
        </w:rPr>
        <w:t xml:space="preserve"> Закономерности межличностных отношений. Этические проблемы деловых отношений</w:t>
      </w:r>
      <w:r>
        <w:rPr>
          <w:szCs w:val="24"/>
        </w:rPr>
        <w:t>.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EA6824">
        <w:rPr>
          <w:szCs w:val="24"/>
        </w:rPr>
        <w:t>,ПК-7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EA6824">
        <w:rPr>
          <w:rFonts w:eastAsia="Times New Roman"/>
        </w:rPr>
        <w:t>Коммуникативная культура в деловом общении.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proofErr w:type="gramStart"/>
      <w:r w:rsidRPr="00ED5AEC">
        <w:rPr>
          <w:rFonts w:ascii="Calibri" w:eastAsia="Times New Roman" w:hAnsi="Calibri"/>
        </w:rPr>
        <w:t>М</w:t>
      </w:r>
      <w:r w:rsidR="00EA6824" w:rsidRPr="00ED5AEC">
        <w:rPr>
          <w:rFonts w:ascii="Calibri" w:eastAsia="Times New Roman" w:hAnsi="Calibri"/>
        </w:rPr>
        <w:t>орально-этическое</w:t>
      </w:r>
      <w:proofErr w:type="gramEnd"/>
      <w:r w:rsidR="00EA6824" w:rsidRPr="00ED5AEC">
        <w:rPr>
          <w:rFonts w:ascii="Calibri" w:eastAsia="Times New Roman" w:hAnsi="Calibri"/>
        </w:rPr>
        <w:t xml:space="preserve"> нормы учений Конфуция, Сократа. Общепринятые нравстве</w:t>
      </w:r>
      <w:r w:rsidR="00EA6824" w:rsidRPr="00ED5AEC">
        <w:rPr>
          <w:rFonts w:ascii="Calibri" w:eastAsia="Times New Roman" w:hAnsi="Calibri"/>
        </w:rPr>
        <w:t>н</w:t>
      </w:r>
      <w:r w:rsidR="00EA6824">
        <w:rPr>
          <w:rFonts w:ascii="Calibri" w:eastAsia="Times New Roman" w:hAnsi="Calibri"/>
        </w:rPr>
        <w:t>ные нормы к общению.</w:t>
      </w:r>
      <w:r w:rsidR="004A5E0B">
        <w:rPr>
          <w:rFonts w:ascii="Calibri" w:eastAsia="Times New Roman" w:hAnsi="Calibri"/>
        </w:rPr>
        <w:t xml:space="preserve"> Коммуникативная культура и личностные качества субъекта о</w:t>
      </w:r>
      <w:r w:rsidR="004A5E0B">
        <w:rPr>
          <w:rFonts w:ascii="Calibri" w:eastAsia="Times New Roman" w:hAnsi="Calibri"/>
        </w:rPr>
        <w:t>б</w:t>
      </w:r>
      <w:r w:rsidR="004A5E0B">
        <w:rPr>
          <w:rFonts w:ascii="Calibri" w:eastAsia="Times New Roman" w:hAnsi="Calibri"/>
        </w:rPr>
        <w:t>щения.</w:t>
      </w:r>
      <w:r w:rsidR="004A5E0B" w:rsidRPr="004A5E0B">
        <w:rPr>
          <w:rFonts w:ascii="Calibri" w:eastAsia="Times New Roman" w:hAnsi="Calibri"/>
        </w:rPr>
        <w:t xml:space="preserve"> </w:t>
      </w:r>
      <w:r w:rsidR="004A5E0B">
        <w:rPr>
          <w:rFonts w:ascii="Calibri" w:eastAsia="Times New Roman" w:hAnsi="Calibri"/>
        </w:rPr>
        <w:t>Коммуникативная культура и социально-психологические умения субъекта общ</w:t>
      </w:r>
      <w:r w:rsidR="004A5E0B">
        <w:rPr>
          <w:rFonts w:ascii="Calibri" w:eastAsia="Times New Roman" w:hAnsi="Calibri"/>
        </w:rPr>
        <w:t>е</w:t>
      </w:r>
      <w:r w:rsidR="004A5E0B">
        <w:rPr>
          <w:rFonts w:ascii="Calibri" w:eastAsia="Times New Roman" w:hAnsi="Calibri"/>
        </w:rPr>
        <w:t>ния. Показатели культуры речи в деловом общении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 проявлений</w:t>
      </w:r>
      <w:r>
        <w:t>; презентации результатов моделирования; обс</w:t>
      </w:r>
      <w:r>
        <w:t>у</w:t>
      </w:r>
      <w:r>
        <w:t>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4A5E0B">
        <w:rPr>
          <w:rFonts w:eastAsia="Times New Roman"/>
        </w:rPr>
        <w:t>Виды делового общения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A5E0B" w:rsidRPr="00ED5AEC" w:rsidRDefault="00ED5AEC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D5AEC">
        <w:rPr>
          <w:rFonts w:ascii="Calibri" w:eastAsia="Times New Roman" w:hAnsi="Calibri"/>
        </w:rPr>
        <w:t>Отличие общения как такового и делового общения</w:t>
      </w:r>
      <w:r>
        <w:rPr>
          <w:rFonts w:ascii="Calibri" w:eastAsia="Times New Roman" w:hAnsi="Calibri"/>
        </w:rPr>
        <w:t>. Служебное общение. Прямое и косвенное общение. Вербальное и невербальное общение. Формы делового общения: деловая беседа, деловые переговоры, деловое совещание, публичное выступление, т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лефонные разговоры, деловая переписка. 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ED5AEC">
        <w:rPr>
          <w:rFonts w:eastAsia="Times New Roman"/>
        </w:rPr>
        <w:t>Культура речи в деловом общении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CD1FB8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CD1FB8">
        <w:rPr>
          <w:rFonts w:ascii="Calibri" w:eastAsia="Times New Roman" w:hAnsi="Calibri"/>
        </w:rPr>
        <w:t xml:space="preserve">Показатели культуры речи: искренность и </w:t>
      </w:r>
      <w:r>
        <w:rPr>
          <w:rFonts w:ascii="Calibri" w:eastAsia="Times New Roman" w:hAnsi="Calibri"/>
        </w:rPr>
        <w:t>продуманность в выборе слова; аргуме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тированность в высказываниях; эмоциональная окраска акта речи. Демократичность ст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ля и манеры речи. Чувство такта в ходе беседы даже полемического характера. Умение слушать собеседника.</w:t>
      </w:r>
      <w:r w:rsidR="003F477C">
        <w:rPr>
          <w:rFonts w:ascii="Calibri" w:eastAsia="Times New Roman" w:hAnsi="Calibri"/>
        </w:rPr>
        <w:t xml:space="preserve"> Диалог с аудиторией. Умение отвечать на вопросы слушателей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3F477C">
        <w:rPr>
          <w:rFonts w:eastAsia="Times New Roman"/>
        </w:rPr>
        <w:t>Этика использования средств выразительности деловой речи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Pr="003F477C" w:rsidRDefault="003F477C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Варьирование тональности выступления. Выделение главных мыслей. Постановка риторических вопросов. Использование форм диалога. Включение образных сравнений, </w:t>
      </w:r>
      <w:r>
        <w:rPr>
          <w:rFonts w:ascii="Calibri" w:eastAsia="Times New Roman" w:hAnsi="Calibri"/>
        </w:rPr>
        <w:lastRenderedPageBreak/>
        <w:t>поговорок и прочего. Использование примеров. Применение повторов.</w:t>
      </w:r>
      <w:r w:rsidR="00D8062E">
        <w:rPr>
          <w:rFonts w:ascii="Calibri" w:eastAsia="Times New Roman" w:hAnsi="Calibri"/>
        </w:rPr>
        <w:t xml:space="preserve"> Демонстрация заинтересованности и убежденности.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3F477C">
        <w:t xml:space="preserve"> компетенции ПК-7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Тема:</w:t>
      </w:r>
      <w:r w:rsidR="00D8062E">
        <w:t xml:space="preserve"> Формы делового общения и правила их реализации</w:t>
      </w:r>
      <w:proofErr w:type="gramStart"/>
      <w:r>
        <w:rPr>
          <w:rFonts w:ascii="Calibri" w:eastAsia="Times New Roman" w:hAnsi="Calibri"/>
        </w:rPr>
        <w:t xml:space="preserve"> К</w:t>
      </w:r>
      <w:proofErr w:type="gramEnd"/>
      <w:r>
        <w:rPr>
          <w:rFonts w:ascii="Calibri" w:eastAsia="Times New Roman" w:hAnsi="Calibri"/>
        </w:rPr>
        <w:t xml:space="preserve"> </w:t>
      </w:r>
      <w:r w:rsidRPr="00AC1419">
        <w:rPr>
          <w:rFonts w:ascii="Calibri" w:eastAsia="Times New Roman" w:hAnsi="Calibri"/>
        </w:rPr>
        <w:t>обсуждению предлаг</w:t>
      </w:r>
      <w:r w:rsidRPr="00AC1419">
        <w:rPr>
          <w:rFonts w:ascii="Calibri" w:eastAsia="Times New Roman" w:hAnsi="Calibri"/>
        </w:rPr>
        <w:t>а</w:t>
      </w:r>
      <w:r w:rsidRPr="00AC1419">
        <w:rPr>
          <w:rFonts w:ascii="Calibri" w:eastAsia="Times New Roman" w:hAnsi="Calibri"/>
        </w:rPr>
        <w:t xml:space="preserve">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D8062E" w:rsidRDefault="002A4342" w:rsidP="00D8062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 xml:space="preserve"> </w:t>
      </w:r>
      <w:r w:rsidR="00D8062E">
        <w:rPr>
          <w:rFonts w:eastAsia="Times New Roman"/>
        </w:rPr>
        <w:t>Правила подготовки и проведения деловой беседы. Правила подготовки и провед</w:t>
      </w:r>
      <w:r w:rsidR="00D8062E">
        <w:rPr>
          <w:rFonts w:eastAsia="Times New Roman"/>
        </w:rPr>
        <w:t>е</w:t>
      </w:r>
      <w:r w:rsidR="00D8062E">
        <w:rPr>
          <w:rFonts w:eastAsia="Times New Roman"/>
        </w:rPr>
        <w:t>ния служебных совещаний. Правила проведения переговоров с деловыми партнерами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D8062E">
        <w:rPr>
          <w:rFonts w:eastAsia="Times New Roman"/>
        </w:rPr>
        <w:t>Правила подготовки и проведения служебных совещаний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Pr="00960A7B" w:rsidRDefault="00960A7B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960A7B">
        <w:rPr>
          <w:rFonts w:ascii="Calibri" w:eastAsia="Times New Roman" w:hAnsi="Calibri"/>
        </w:rPr>
        <w:t>Открытость инф</w:t>
      </w:r>
      <w:r>
        <w:rPr>
          <w:rFonts w:ascii="Calibri" w:eastAsia="Times New Roman" w:hAnsi="Calibri"/>
        </w:rPr>
        <w:t>о</w:t>
      </w:r>
      <w:r w:rsidRPr="00960A7B">
        <w:rPr>
          <w:rFonts w:ascii="Calibri" w:eastAsia="Times New Roman" w:hAnsi="Calibri"/>
        </w:rPr>
        <w:t>рмационной системы организации</w:t>
      </w:r>
      <w:r>
        <w:rPr>
          <w:rFonts w:ascii="Calibri" w:eastAsia="Times New Roman" w:hAnsi="Calibri"/>
          <w:b/>
        </w:rPr>
        <w:t xml:space="preserve">. </w:t>
      </w:r>
      <w:r w:rsidRPr="00960A7B">
        <w:rPr>
          <w:rFonts w:ascii="Calibri" w:eastAsia="Times New Roman" w:hAnsi="Calibri"/>
        </w:rPr>
        <w:t>Показатель действенности с</w:t>
      </w:r>
      <w:r w:rsidRPr="00960A7B">
        <w:rPr>
          <w:rFonts w:ascii="Calibri" w:eastAsia="Times New Roman" w:hAnsi="Calibri"/>
        </w:rPr>
        <w:t>о</w:t>
      </w:r>
      <w:r w:rsidRPr="00960A7B">
        <w:rPr>
          <w:rFonts w:ascii="Calibri" w:eastAsia="Times New Roman" w:hAnsi="Calibri"/>
        </w:rPr>
        <w:t>вещания.</w:t>
      </w:r>
      <w:r>
        <w:rPr>
          <w:rFonts w:ascii="Calibri" w:eastAsia="Times New Roman" w:hAnsi="Calibri"/>
        </w:rPr>
        <w:t xml:space="preserve"> Допустимая длительность совещания. Инструктивные совещания. Оперативные совещания. Проблемные совещания.</w:t>
      </w:r>
    </w:p>
    <w:p w:rsidR="00BC2584" w:rsidRDefault="00BC2584" w:rsidP="00D8062E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Правила проведения переговоров с деловыми партнерами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60A7B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B3419C">
        <w:rPr>
          <w:rFonts w:ascii="Calibri" w:eastAsia="Times New Roman" w:hAnsi="Calibri"/>
        </w:rPr>
        <w:t>Выбор средств переговоров</w:t>
      </w:r>
      <w:r>
        <w:rPr>
          <w:rFonts w:ascii="Calibri" w:eastAsia="Times New Roman" w:hAnsi="Calibri"/>
          <w:b/>
        </w:rPr>
        <w:t>.</w:t>
      </w:r>
      <w:r w:rsidR="00B3419C">
        <w:rPr>
          <w:rFonts w:ascii="Calibri" w:eastAsia="Times New Roman" w:hAnsi="Calibri"/>
          <w:b/>
        </w:rPr>
        <w:t xml:space="preserve"> </w:t>
      </w:r>
      <w:r w:rsidR="00B3419C" w:rsidRPr="00B3419C">
        <w:rPr>
          <w:rFonts w:ascii="Calibri" w:eastAsia="Times New Roman" w:hAnsi="Calibri"/>
        </w:rPr>
        <w:t>Установление контакта между сторонами.</w:t>
      </w:r>
      <w:r w:rsidR="00B3419C">
        <w:rPr>
          <w:rFonts w:ascii="Calibri" w:eastAsia="Times New Roman" w:hAnsi="Calibri"/>
        </w:rPr>
        <w:t xml:space="preserve"> Сбор и ан</w:t>
      </w:r>
      <w:r w:rsidR="00B3419C">
        <w:rPr>
          <w:rFonts w:ascii="Calibri" w:eastAsia="Times New Roman" w:hAnsi="Calibri"/>
        </w:rPr>
        <w:t>а</w:t>
      </w:r>
      <w:r w:rsidR="00B3419C">
        <w:rPr>
          <w:rFonts w:ascii="Calibri" w:eastAsia="Times New Roman" w:hAnsi="Calibri"/>
        </w:rPr>
        <w:t>лиз необходимой для переговоров информации. Разработка плана переговоров. Форм</w:t>
      </w:r>
      <w:r w:rsidR="00B3419C">
        <w:rPr>
          <w:rFonts w:ascii="Calibri" w:eastAsia="Times New Roman" w:hAnsi="Calibri"/>
        </w:rPr>
        <w:t>и</w:t>
      </w:r>
      <w:r w:rsidR="00B3419C">
        <w:rPr>
          <w:rFonts w:ascii="Calibri" w:eastAsia="Times New Roman" w:hAnsi="Calibri"/>
        </w:rPr>
        <w:t>рование атмосферы взаимного доверия. Стадии ведения переговоров: подготовка пер</w:t>
      </w:r>
      <w:r w:rsidR="00B3419C">
        <w:rPr>
          <w:rFonts w:ascii="Calibri" w:eastAsia="Times New Roman" w:hAnsi="Calibri"/>
        </w:rPr>
        <w:t>е</w:t>
      </w:r>
      <w:r w:rsidR="00B3419C">
        <w:rPr>
          <w:rFonts w:ascii="Calibri" w:eastAsia="Times New Roman" w:hAnsi="Calibri"/>
        </w:rPr>
        <w:t>говоров, процесс переговоров, достижение согласия Подходы ведения переговоров: мя</w:t>
      </w:r>
      <w:r w:rsidR="00B3419C">
        <w:rPr>
          <w:rFonts w:ascii="Calibri" w:eastAsia="Times New Roman" w:hAnsi="Calibri"/>
        </w:rPr>
        <w:t>г</w:t>
      </w:r>
      <w:r w:rsidR="00B3419C">
        <w:rPr>
          <w:rFonts w:ascii="Calibri" w:eastAsia="Times New Roman" w:hAnsi="Calibri"/>
        </w:rPr>
        <w:t>кий подход, жесткий подход, принципиальный подхо</w:t>
      </w:r>
      <w:proofErr w:type="gramStart"/>
      <w:r w:rsidR="00B3419C">
        <w:rPr>
          <w:rFonts w:ascii="Calibri" w:eastAsia="Times New Roman" w:hAnsi="Calibri"/>
        </w:rPr>
        <w:t>д(</w:t>
      </w:r>
      <w:proofErr w:type="gramEnd"/>
      <w:r w:rsidR="00B3419C">
        <w:rPr>
          <w:rFonts w:ascii="Calibri" w:eastAsia="Times New Roman" w:hAnsi="Calibri"/>
        </w:rPr>
        <w:t xml:space="preserve"> с учетом интересов сторон)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lastRenderedPageBreak/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B3419C">
        <w:t xml:space="preserve"> компетенции ПК-7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5.2 Дополнительная литература</w:t>
      </w:r>
    </w:p>
    <w:p w:rsidR="00471DF4" w:rsidRDefault="00471DF4" w:rsidP="00471D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Антонов, Е. С.  Методика преподавания русского языка: </w:t>
      </w:r>
      <w:proofErr w:type="spellStart"/>
      <w:r>
        <w:rPr>
          <w:sz w:val="24"/>
          <w:szCs w:val="24"/>
        </w:rPr>
        <w:t>коммуникативно-деятельностный</w:t>
      </w:r>
      <w:proofErr w:type="spellEnd"/>
      <w:r>
        <w:rPr>
          <w:sz w:val="24"/>
          <w:szCs w:val="24"/>
        </w:rPr>
        <w:t xml:space="preserve"> подход: учебное пособие / Е. С. Антонов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КНОРУС, 2007. - 464 с - ISBN 978-5-85971-609-8.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2014.</w:t>
      </w:r>
      <w:r>
        <w:rPr>
          <w:color w:val="000000"/>
          <w:spacing w:val="-1"/>
          <w:sz w:val="24"/>
          <w:szCs w:val="24"/>
        </w:rPr>
        <w:t xml:space="preserve">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Андреев А. Н.Лекции по теории литературы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целостно-антропологический ан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[Электронный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Директ-Медиа</w:t>
      </w:r>
      <w:proofErr w:type="spellEnd"/>
      <w:r>
        <w:rPr>
          <w:color w:val="000000"/>
          <w:spacing w:val="-1"/>
          <w:sz w:val="24"/>
          <w:szCs w:val="24"/>
        </w:rPr>
        <w:t xml:space="preserve">, 2014. 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9C" w:rsidRDefault="00B3419C" w:rsidP="00817BE6">
      <w:pPr>
        <w:spacing w:after="0" w:line="240" w:lineRule="auto"/>
      </w:pPr>
      <w:r>
        <w:separator/>
      </w:r>
    </w:p>
  </w:endnote>
  <w:endnote w:type="continuationSeparator" w:id="0">
    <w:p w:rsidR="00B3419C" w:rsidRDefault="00B3419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3419C" w:rsidRDefault="001478CF">
        <w:pPr>
          <w:pStyle w:val="a7"/>
          <w:jc w:val="center"/>
        </w:pPr>
        <w:fldSimple w:instr="PAGE   \* MERGEFORMAT">
          <w:r w:rsidR="00471DF4">
            <w:rPr>
              <w:noProof/>
            </w:rPr>
            <w:t>26</w:t>
          </w:r>
        </w:fldSimple>
      </w:p>
    </w:sdtContent>
  </w:sdt>
  <w:p w:rsidR="00B3419C" w:rsidRDefault="00B341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9C" w:rsidRDefault="00B3419C" w:rsidP="00817BE6">
      <w:pPr>
        <w:spacing w:after="0" w:line="240" w:lineRule="auto"/>
      </w:pPr>
      <w:r>
        <w:separator/>
      </w:r>
    </w:p>
  </w:footnote>
  <w:footnote w:type="continuationSeparator" w:id="0">
    <w:p w:rsidR="00B3419C" w:rsidRDefault="00B3419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27055"/>
    <w:rsid w:val="000303CA"/>
    <w:rsid w:val="00033CF4"/>
    <w:rsid w:val="00047218"/>
    <w:rsid w:val="00067BE2"/>
    <w:rsid w:val="00074BB1"/>
    <w:rsid w:val="000A6FB5"/>
    <w:rsid w:val="000C51FE"/>
    <w:rsid w:val="000E6D5B"/>
    <w:rsid w:val="000E76F8"/>
    <w:rsid w:val="000E7BB6"/>
    <w:rsid w:val="000F6DC6"/>
    <w:rsid w:val="001335BA"/>
    <w:rsid w:val="001478CF"/>
    <w:rsid w:val="00151C92"/>
    <w:rsid w:val="001575FA"/>
    <w:rsid w:val="00163B1E"/>
    <w:rsid w:val="001970F6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64917"/>
    <w:rsid w:val="00471DF4"/>
    <w:rsid w:val="00477D55"/>
    <w:rsid w:val="00481AA9"/>
    <w:rsid w:val="0048716F"/>
    <w:rsid w:val="0049342A"/>
    <w:rsid w:val="00496FDC"/>
    <w:rsid w:val="004A5E0B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A2754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419C"/>
    <w:rsid w:val="00B37660"/>
    <w:rsid w:val="00B55747"/>
    <w:rsid w:val="00B70C03"/>
    <w:rsid w:val="00B7266B"/>
    <w:rsid w:val="00B80AC3"/>
    <w:rsid w:val="00B93A08"/>
    <w:rsid w:val="00B95395"/>
    <w:rsid w:val="00BC2584"/>
    <w:rsid w:val="00BD025A"/>
    <w:rsid w:val="00BD3C36"/>
    <w:rsid w:val="00BE1369"/>
    <w:rsid w:val="00BE2DBF"/>
    <w:rsid w:val="00C00B55"/>
    <w:rsid w:val="00C021A9"/>
    <w:rsid w:val="00C07CA2"/>
    <w:rsid w:val="00C53504"/>
    <w:rsid w:val="00C57AA9"/>
    <w:rsid w:val="00C70920"/>
    <w:rsid w:val="00C70F7A"/>
    <w:rsid w:val="00C83122"/>
    <w:rsid w:val="00C92FDE"/>
    <w:rsid w:val="00CA2AEC"/>
    <w:rsid w:val="00CA3E82"/>
    <w:rsid w:val="00CD1FB8"/>
    <w:rsid w:val="00CE2CD7"/>
    <w:rsid w:val="00D21FDD"/>
    <w:rsid w:val="00D47098"/>
    <w:rsid w:val="00D52225"/>
    <w:rsid w:val="00D52B47"/>
    <w:rsid w:val="00D549EA"/>
    <w:rsid w:val="00D566B7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04D8-593B-4C78-821D-96F12D18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26</Pages>
  <Words>8010</Words>
  <Characters>45663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68</cp:revision>
  <dcterms:created xsi:type="dcterms:W3CDTF">2016-10-09T16:26:00Z</dcterms:created>
  <dcterms:modified xsi:type="dcterms:W3CDTF">2019-02-15T13:22:00Z</dcterms:modified>
</cp:coreProperties>
</file>