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4E7" w:rsidRPr="007D64E7" w:rsidRDefault="007D64E7" w:rsidP="007D64E7">
      <w:pPr>
        <w:pStyle w:val="ReportHead"/>
        <w:keepNext/>
        <w:keepLines/>
        <w:suppressLineNumbers/>
        <w:suppressAutoHyphens/>
        <w:rPr>
          <w:i/>
          <w:szCs w:val="28"/>
        </w:rPr>
      </w:pPr>
      <w:r w:rsidRPr="007D64E7">
        <w:rPr>
          <w:i/>
          <w:szCs w:val="28"/>
        </w:rPr>
        <w:t>«Б.4.2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F928AD" w:rsidRDefault="00F928AD" w:rsidP="00F928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A6A08">
        <w:rPr>
          <w:sz w:val="24"/>
        </w:rPr>
        <w:t>2020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 xml:space="preserve">методические указания для </w:t>
      </w:r>
      <w:proofErr w:type="gramStart"/>
      <w:r w:rsidR="008C4648">
        <w:rPr>
          <w:sz w:val="28"/>
          <w:szCs w:val="20"/>
        </w:rPr>
        <w:t>обучающихся</w:t>
      </w:r>
      <w:proofErr w:type="gramEnd"/>
      <w:r w:rsidR="008C4648">
        <w:rPr>
          <w:sz w:val="28"/>
          <w:szCs w:val="20"/>
        </w:rPr>
        <w:t xml:space="preserve"> по освоению дисциплины</w:t>
      </w:r>
      <w:r w:rsidR="008C4648" w:rsidRPr="008D4D99">
        <w:rPr>
          <w:sz w:val="28"/>
          <w:szCs w:val="28"/>
        </w:rPr>
        <w:t xml:space="preserve"> / </w:t>
      </w:r>
      <w:proofErr w:type="spellStart"/>
      <w:r w:rsidR="008C4648" w:rsidRPr="008D4D99">
        <w:rPr>
          <w:sz w:val="28"/>
          <w:szCs w:val="28"/>
        </w:rPr>
        <w:t>Е.В.Криволапова</w:t>
      </w:r>
      <w:proofErr w:type="spellEnd"/>
      <w:r w:rsidR="008C4648" w:rsidRPr="008D4D99">
        <w:rPr>
          <w:sz w:val="28"/>
          <w:szCs w:val="28"/>
        </w:rPr>
        <w:t xml:space="preserve"> - </w:t>
      </w:r>
      <w:r w:rsidR="008C4648">
        <w:rPr>
          <w:sz w:val="28"/>
          <w:szCs w:val="20"/>
        </w:rPr>
        <w:t xml:space="preserve">; </w:t>
      </w:r>
      <w:proofErr w:type="spellStart"/>
      <w:r w:rsidR="008C4648">
        <w:rPr>
          <w:sz w:val="28"/>
          <w:szCs w:val="20"/>
        </w:rPr>
        <w:t>Бузулукский</w:t>
      </w:r>
      <w:proofErr w:type="spellEnd"/>
      <w:r w:rsidR="008C4648"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 w:rsidR="008C4648">
        <w:rPr>
          <w:sz w:val="28"/>
          <w:szCs w:val="20"/>
        </w:rPr>
        <w:t xml:space="preserve"> :</w:t>
      </w:r>
      <w:proofErr w:type="gramEnd"/>
      <w:r w:rsidR="008C4648">
        <w:rPr>
          <w:sz w:val="28"/>
          <w:szCs w:val="20"/>
        </w:rPr>
        <w:t xml:space="preserve"> БГТИ (филиал) ОГУ, </w:t>
      </w:r>
      <w:r w:rsidR="008A6A08">
        <w:rPr>
          <w:sz w:val="28"/>
          <w:szCs w:val="20"/>
        </w:rPr>
        <w:t>2020</w:t>
      </w:r>
      <w:r w:rsidR="008C4648">
        <w:rPr>
          <w:sz w:val="28"/>
          <w:szCs w:val="20"/>
        </w:rPr>
        <w:t>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A6A08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="00372567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8C4648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C4648" w:rsidRPr="008533FE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8C4648" w:rsidRPr="00FF0076" w:rsidRDefault="008C4648" w:rsidP="008C464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C4648" w:rsidRPr="00FF0076" w:rsidRDefault="008C4648" w:rsidP="008C4648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C4648" w:rsidRDefault="008C4648" w:rsidP="008C4648">
      <w:pPr>
        <w:pStyle w:val="Default"/>
        <w:rPr>
          <w:color w:val="auto"/>
        </w:rPr>
      </w:pPr>
    </w:p>
    <w:p w:rsidR="008C4648" w:rsidRPr="00F668F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C4648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C4648" w:rsidRPr="00FF0076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2F">
        <w:rPr>
          <w:rFonts w:ascii="Times New Roman" w:hAnsi="Times New Roman" w:cs="Times New Roman"/>
          <w:sz w:val="28"/>
          <w:szCs w:val="28"/>
        </w:rPr>
        <w:t>Современная экология и глобальные экологические проблемы: практикум / Е.В.</w:t>
      </w:r>
      <w:proofErr w:type="gramStart"/>
      <w:r w:rsidRPr="0095452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5452F">
        <w:rPr>
          <w:rFonts w:ascii="Times New Roman" w:hAnsi="Times New Roman" w:cs="Times New Roman"/>
          <w:sz w:val="28"/>
          <w:szCs w:val="28"/>
        </w:rPr>
        <w:t>риволапова</w:t>
      </w:r>
      <w:proofErr w:type="spellEnd"/>
      <w:proofErr w:type="gramEnd"/>
      <w:r w:rsidRPr="009545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5452F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95452F">
        <w:rPr>
          <w:rFonts w:ascii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95452F">
        <w:rPr>
          <w:rFonts w:ascii="Times New Roman" w:hAnsi="Times New Roman" w:cs="Times New Roman"/>
          <w:sz w:val="28"/>
          <w:szCs w:val="28"/>
        </w:rPr>
        <w:t>технологич</w:t>
      </w:r>
      <w:proofErr w:type="spellEnd"/>
      <w:r w:rsidRPr="0095452F">
        <w:rPr>
          <w:rFonts w:ascii="Times New Roman" w:hAnsi="Times New Roman" w:cs="Times New Roman"/>
          <w:sz w:val="28"/>
          <w:szCs w:val="28"/>
        </w:rPr>
        <w:t xml:space="preserve">.  ин-т (филиал) ОГУ - Бузулук: БГТИ (филиал) ОГУ, </w:t>
      </w:r>
      <w:r w:rsidR="008A6A08">
        <w:rPr>
          <w:rFonts w:ascii="Times New Roman" w:hAnsi="Times New Roman" w:cs="Times New Roman"/>
          <w:sz w:val="28"/>
          <w:szCs w:val="28"/>
        </w:rPr>
        <w:t>2020</w:t>
      </w:r>
      <w:r w:rsidRPr="0095452F">
        <w:rPr>
          <w:rFonts w:ascii="Times New Roman" w:hAnsi="Times New Roman" w:cs="Times New Roman"/>
          <w:sz w:val="28"/>
          <w:szCs w:val="28"/>
        </w:rPr>
        <w:t>. – 1</w:t>
      </w:r>
      <w:r w:rsidR="00AA0E7C">
        <w:rPr>
          <w:rFonts w:ascii="Times New Roman" w:hAnsi="Times New Roman" w:cs="Times New Roman"/>
          <w:sz w:val="28"/>
          <w:szCs w:val="28"/>
        </w:rPr>
        <w:t>06</w:t>
      </w:r>
      <w:r w:rsidRPr="0095452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452F" w:rsidRP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37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зачету: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79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hAnsi="Times New Roman"/>
          <w:sz w:val="28"/>
          <w:szCs w:val="20"/>
        </w:rPr>
        <w:t xml:space="preserve">практические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C4648" w:rsidRPr="00C4744E" w:rsidRDefault="008C4648" w:rsidP="008C4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8C4648" w:rsidRPr="00C4744E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8C4648" w:rsidRPr="007716C5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C4648" w:rsidRDefault="008C4648" w:rsidP="008C4648"/>
    <w:p w:rsidR="000947C7" w:rsidRDefault="000947C7"/>
    <w:sectPr w:rsidR="000947C7" w:rsidSect="009545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16" w:rsidRDefault="00802F16" w:rsidP="006B5CC6">
      <w:pPr>
        <w:spacing w:after="0" w:line="240" w:lineRule="auto"/>
      </w:pPr>
      <w:r>
        <w:separator/>
      </w:r>
    </w:p>
  </w:endnote>
  <w:endnote w:type="continuationSeparator" w:id="0">
    <w:p w:rsidR="00802F16" w:rsidRDefault="00802F16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372567">
          <w:rPr>
            <w:noProof/>
          </w:rPr>
          <w:t>13</w:t>
        </w:r>
        <w:r>
          <w:fldChar w:fldCharType="end"/>
        </w:r>
      </w:p>
    </w:sdtContent>
  </w:sdt>
  <w:p w:rsidR="00FF0076" w:rsidRDefault="00802F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16" w:rsidRDefault="00802F16" w:rsidP="006B5CC6">
      <w:pPr>
        <w:spacing w:after="0" w:line="240" w:lineRule="auto"/>
      </w:pPr>
      <w:r>
        <w:separator/>
      </w:r>
    </w:p>
  </w:footnote>
  <w:footnote w:type="continuationSeparator" w:id="0">
    <w:p w:rsidR="00802F16" w:rsidRDefault="00802F16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A0"/>
    <w:rsid w:val="00005360"/>
    <w:rsid w:val="00074220"/>
    <w:rsid w:val="000947C7"/>
    <w:rsid w:val="0015242E"/>
    <w:rsid w:val="001A3EA0"/>
    <w:rsid w:val="002461EC"/>
    <w:rsid w:val="002B1DFC"/>
    <w:rsid w:val="0034599D"/>
    <w:rsid w:val="00372567"/>
    <w:rsid w:val="0062679E"/>
    <w:rsid w:val="006B5CC6"/>
    <w:rsid w:val="007D64E7"/>
    <w:rsid w:val="007D6ABE"/>
    <w:rsid w:val="00802F16"/>
    <w:rsid w:val="0088449F"/>
    <w:rsid w:val="008A6A08"/>
    <w:rsid w:val="008C4648"/>
    <w:rsid w:val="0095452F"/>
    <w:rsid w:val="00AA0E7C"/>
    <w:rsid w:val="00AC43CD"/>
    <w:rsid w:val="00C1236B"/>
    <w:rsid w:val="00E20D1E"/>
    <w:rsid w:val="00EF2006"/>
    <w:rsid w:val="00F674FA"/>
    <w:rsid w:val="00F928AD"/>
    <w:rsid w:val="00FC7845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13</cp:revision>
  <cp:lastPrinted>2020-01-15T03:43:00Z</cp:lastPrinted>
  <dcterms:created xsi:type="dcterms:W3CDTF">2017-11-30T07:40:00Z</dcterms:created>
  <dcterms:modified xsi:type="dcterms:W3CDTF">2020-01-27T05:56:00Z</dcterms:modified>
</cp:coreProperties>
</file>