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proofErr w:type="gramStart"/>
      <w:r w:rsidRPr="00F3119B">
        <w:rPr>
          <w:rFonts w:ascii="Times New Roman" w:eastAsia="Calibri" w:hAnsi="Times New Roman" w:cs="Times New Roman"/>
          <w:sz w:val="28"/>
          <w:szCs w:val="28"/>
        </w:rPr>
        <w:t>образования  и</w:t>
      </w:r>
      <w:proofErr w:type="gramEnd"/>
      <w:r w:rsidRPr="00F3119B">
        <w:rPr>
          <w:rFonts w:ascii="Times New Roman" w:eastAsia="Calibri" w:hAnsi="Times New Roman" w:cs="Times New Roman"/>
          <w:sz w:val="28"/>
          <w:szCs w:val="28"/>
        </w:rPr>
        <w:t xml:space="preserve">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D13D99">
        <w:rPr>
          <w:sz w:val="32"/>
        </w:rPr>
        <w:t>Общая биология с основами экологии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748D3">
        <w:rPr>
          <w:szCs w:val="28"/>
        </w:rPr>
        <w:t>2018</w:t>
      </w:r>
    </w:p>
    <w:p w:rsidR="008D4D99" w:rsidRPr="006454D5" w:rsidRDefault="00D13D99" w:rsidP="004A5996">
      <w:pPr>
        <w:pStyle w:val="ReportMain"/>
        <w:suppressAutoHyphens/>
        <w:jc w:val="both"/>
        <w:rPr>
          <w:sz w:val="28"/>
          <w:szCs w:val="28"/>
        </w:rPr>
      </w:pPr>
      <w:r>
        <w:rPr>
          <w:sz w:val="28"/>
        </w:rPr>
        <w:lastRenderedPageBreak/>
        <w:t xml:space="preserve">Общая биология с основами </w:t>
      </w:r>
      <w:proofErr w:type="gramStart"/>
      <w:r>
        <w:rPr>
          <w:sz w:val="28"/>
        </w:rPr>
        <w:t>экологии</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8748D3">
        <w:rPr>
          <w:sz w:val="28"/>
          <w:szCs w:val="28"/>
        </w:rPr>
        <w:t>2018</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748D3">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w:t>
      </w:r>
      <w:r w:rsidRPr="00D13D99">
        <w:rPr>
          <w:rFonts w:ascii="Times New Roman" w:hAnsi="Times New Roman" w:cs="Times New Roman"/>
          <w:sz w:val="28"/>
          <w:szCs w:val="28"/>
        </w:rPr>
        <w:t>дисциплине «</w:t>
      </w:r>
      <w:r w:rsidR="00D13D99" w:rsidRPr="00D13D99">
        <w:rPr>
          <w:rFonts w:ascii="Times New Roman" w:hAnsi="Times New Roman" w:cs="Times New Roman"/>
          <w:sz w:val="28"/>
        </w:rPr>
        <w:t>Общая биология с основами экологии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F93A3A" w:rsidRDefault="00F93A3A" w:rsidP="00F93A3A"/>
        <w:p w:rsidR="00F93A3A" w:rsidRPr="00F93A3A" w:rsidRDefault="00F93A3A">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425682" w:history="1">
            <w:r w:rsidRPr="00F93A3A">
              <w:rPr>
                <w:rStyle w:val="a9"/>
                <w:rFonts w:ascii="Times New Roman" w:hAnsi="Times New Roman"/>
                <w:noProof/>
                <w:sz w:val="28"/>
                <w:szCs w:val="28"/>
              </w:rPr>
              <w:t>1 Пояснительная записка</w:t>
            </w:r>
            <w:r w:rsidRPr="00F93A3A">
              <w:rPr>
                <w:rFonts w:ascii="Times New Roman" w:hAnsi="Times New Roman"/>
                <w:noProof/>
                <w:webHidden/>
                <w:sz w:val="28"/>
                <w:szCs w:val="28"/>
              </w:rPr>
              <w:tab/>
            </w:r>
            <w:r w:rsidRPr="00F93A3A">
              <w:rPr>
                <w:rFonts w:ascii="Times New Roman" w:hAnsi="Times New Roman"/>
                <w:noProof/>
                <w:webHidden/>
                <w:sz w:val="28"/>
                <w:szCs w:val="28"/>
              </w:rPr>
              <w:fldChar w:fldCharType="begin"/>
            </w:r>
            <w:r w:rsidRPr="00F93A3A">
              <w:rPr>
                <w:rFonts w:ascii="Times New Roman" w:hAnsi="Times New Roman"/>
                <w:noProof/>
                <w:webHidden/>
                <w:sz w:val="28"/>
                <w:szCs w:val="28"/>
              </w:rPr>
              <w:instrText xml:space="preserve"> PAGEREF _Toc15425682 \h </w:instrText>
            </w:r>
            <w:r w:rsidRPr="00F93A3A">
              <w:rPr>
                <w:rFonts w:ascii="Times New Roman" w:hAnsi="Times New Roman"/>
                <w:noProof/>
                <w:webHidden/>
                <w:sz w:val="28"/>
                <w:szCs w:val="28"/>
              </w:rPr>
            </w:r>
            <w:r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4</w:t>
            </w:r>
            <w:r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3" w:history="1">
            <w:r w:rsidR="00F93A3A" w:rsidRPr="00F93A3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5</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4" w:history="1">
            <w:r w:rsidR="00F93A3A" w:rsidRPr="00F93A3A">
              <w:rPr>
                <w:rStyle w:val="a9"/>
                <w:rFonts w:ascii="Times New Roman" w:hAnsi="Times New Roman"/>
                <w:noProof/>
                <w:sz w:val="28"/>
                <w:szCs w:val="28"/>
              </w:rPr>
              <w:t>3 Методические рекомендации студентам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_Toc15425684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5" w:history="1">
            <w:r w:rsidR="00F93A3A" w:rsidRPr="00F93A3A">
              <w:rPr>
                <w:rStyle w:val="a9"/>
                <w:rFonts w:ascii="Times New Roman" w:hAnsi="Times New Roman"/>
                <w:noProof/>
                <w:sz w:val="28"/>
                <w:szCs w:val="28"/>
              </w:rPr>
              <w:t>3.1 Методические рекомендации по самоподготовке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_Toc15425685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6" w:history="1">
            <w:r w:rsidR="00F93A3A" w:rsidRPr="00F93A3A">
              <w:rPr>
                <w:rStyle w:val="a9"/>
                <w:rFonts w:ascii="Times New Roman" w:hAnsi="Times New Roman"/>
                <w:noProof/>
                <w:sz w:val="28"/>
                <w:szCs w:val="28"/>
              </w:rPr>
              <w:t>3.2 Методические рекомендации по подготовке к лабораторным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_Toc15425686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9</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7" w:history="1">
            <w:r w:rsidR="00F93A3A" w:rsidRPr="00F93A3A">
              <w:rPr>
                <w:rStyle w:val="a9"/>
                <w:rFonts w:ascii="Times New Roman" w:hAnsi="Times New Roman"/>
                <w:noProof/>
                <w:sz w:val="28"/>
                <w:szCs w:val="28"/>
              </w:rPr>
              <w:t>3.3 Методические рекомендации по подготовке к практическим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_Toc15425687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12</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88" w:history="1">
            <w:r w:rsidR="00F93A3A" w:rsidRPr="00F93A3A">
              <w:rPr>
                <w:rStyle w:val="a9"/>
                <w:rFonts w:ascii="Times New Roman" w:hAnsi="Times New Roman"/>
                <w:noProof/>
                <w:sz w:val="28"/>
                <w:szCs w:val="28"/>
              </w:rPr>
              <w:t>3.4 Методические рекомендации по выполнению расчетно - графических заданий</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_Toc15425688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13</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91" w:history="1">
            <w:r w:rsidR="00F93A3A" w:rsidRPr="00F93A3A">
              <w:rPr>
                <w:rStyle w:val="a9"/>
                <w:rFonts w:ascii="Times New Roman" w:hAnsi="Times New Roman"/>
                <w:noProof/>
                <w:sz w:val="28"/>
                <w:szCs w:val="28"/>
              </w:rPr>
              <w:t>3.5 Методические рекомендации по подготовке к рубежному контролю</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_Toc15425691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14</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92" w:history="1">
            <w:r w:rsidR="00F93A3A" w:rsidRPr="00F93A3A">
              <w:rPr>
                <w:rStyle w:val="a9"/>
                <w:rFonts w:ascii="Times New Roman" w:hAnsi="Times New Roman"/>
                <w:noProof/>
                <w:sz w:val="28"/>
                <w:szCs w:val="28"/>
              </w:rPr>
              <w:t xml:space="preserve">3.6 Методические </w:t>
            </w:r>
            <w:r>
              <w:rPr>
                <w:rStyle w:val="a9"/>
                <w:rFonts w:ascii="Times New Roman" w:hAnsi="Times New Roman"/>
                <w:noProof/>
                <w:sz w:val="28"/>
                <w:szCs w:val="28"/>
              </w:rPr>
              <w:t>рекомендации</w:t>
            </w:r>
            <w:r w:rsidR="00F93A3A" w:rsidRPr="00F93A3A">
              <w:rPr>
                <w:rStyle w:val="a9"/>
                <w:rFonts w:ascii="Times New Roman" w:hAnsi="Times New Roman"/>
                <w:noProof/>
                <w:sz w:val="28"/>
                <w:szCs w:val="28"/>
              </w:rPr>
              <w:t xml:space="preserve"> по выполн</w:t>
            </w:r>
            <w:r w:rsidR="00F93A3A" w:rsidRPr="00F93A3A">
              <w:rPr>
                <w:rStyle w:val="a9"/>
                <w:rFonts w:ascii="Times New Roman" w:hAnsi="Times New Roman"/>
                <w:noProof/>
                <w:sz w:val="28"/>
                <w:szCs w:val="28"/>
              </w:rPr>
              <w:t>е</w:t>
            </w:r>
            <w:r w:rsidR="00F93A3A" w:rsidRPr="00F93A3A">
              <w:rPr>
                <w:rStyle w:val="a9"/>
                <w:rFonts w:ascii="Times New Roman" w:hAnsi="Times New Roman"/>
                <w:noProof/>
                <w:sz w:val="28"/>
                <w:szCs w:val="28"/>
              </w:rPr>
              <w:t>нию заданий творческого уровня</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_Toc15425692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15</w:t>
            </w:r>
            <w:r w:rsidR="00F93A3A" w:rsidRPr="00F93A3A">
              <w:rPr>
                <w:rFonts w:ascii="Times New Roman" w:hAnsi="Times New Roman"/>
                <w:noProof/>
                <w:webHidden/>
                <w:sz w:val="28"/>
                <w:szCs w:val="28"/>
              </w:rPr>
              <w:fldChar w:fldCharType="end"/>
            </w:r>
          </w:hyperlink>
        </w:p>
        <w:p w:rsidR="00F93A3A" w:rsidRPr="00F93A3A" w:rsidRDefault="00127394">
          <w:pPr>
            <w:pStyle w:val="12"/>
            <w:rPr>
              <w:rFonts w:ascii="Times New Roman" w:eastAsiaTheme="minorEastAsia" w:hAnsi="Times New Roman"/>
              <w:noProof/>
              <w:sz w:val="28"/>
              <w:szCs w:val="28"/>
              <w:lang w:eastAsia="ru-RU"/>
            </w:rPr>
          </w:pPr>
          <w:hyperlink w:anchor="_Toc15425693" w:history="1">
            <w:r w:rsidR="00F93A3A" w:rsidRPr="00F93A3A">
              <w:rPr>
                <w:rStyle w:val="a9"/>
                <w:rFonts w:ascii="Times New Roman" w:hAnsi="Times New Roman"/>
                <w:noProof/>
                <w:sz w:val="28"/>
                <w:szCs w:val="28"/>
              </w:rPr>
              <w:t>4 Контроль и управление самостоятельной работой студентов</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56304A">
              <w:rPr>
                <w:rFonts w:ascii="Times New Roman" w:hAnsi="Times New Roman"/>
                <w:noProof/>
                <w:webHidden/>
                <w:sz w:val="28"/>
                <w:szCs w:val="28"/>
              </w:rPr>
              <w:t>16</w:t>
            </w:r>
            <w:r w:rsidR="00F93A3A" w:rsidRPr="00F93A3A">
              <w:rPr>
                <w:rFonts w:ascii="Times New Roman" w:hAnsi="Times New Roman"/>
                <w:noProof/>
                <w:webHidden/>
                <w:sz w:val="28"/>
                <w:szCs w:val="28"/>
              </w:rPr>
              <w:fldChar w:fldCharType="end"/>
            </w:r>
          </w:hyperlink>
        </w:p>
        <w:p w:rsidR="00F93A3A" w:rsidRDefault="00F93A3A">
          <w:pPr>
            <w:pStyle w:val="12"/>
            <w:rPr>
              <w:rFonts w:asciiTheme="minorHAnsi" w:eastAsiaTheme="minorEastAsia" w:hAnsiTheme="minorHAnsi" w:cstheme="minorBidi"/>
              <w:noProof/>
              <w:lang w:eastAsia="ru-RU"/>
            </w:rPr>
          </w:pPr>
        </w:p>
        <w:p w:rsidR="00F93A3A" w:rsidRDefault="00F93A3A">
          <w:r>
            <w:rPr>
              <w:b/>
              <w:bCs/>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682"/>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 xml:space="preserve">Курс «Общая биология с основами экологии»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F4FAF">
        <w:rPr>
          <w:rFonts w:ascii="Times New Roman" w:hAnsi="Times New Roman" w:cs="Times New Roman"/>
          <w:sz w:val="28"/>
        </w:rPr>
        <w:t>Общая биология с основами экологии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683"/>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F4FAF">
        <w:rPr>
          <w:sz w:val="28"/>
          <w:szCs w:val="28"/>
        </w:rPr>
        <w:t>Общая биология с основами экологии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F93A3A" w:rsidRPr="0082553E" w:rsidRDefault="00F93A3A" w:rsidP="00610F0E">
      <w:pPr>
        <w:pStyle w:val="ReportMain"/>
        <w:suppressAutoHyphens/>
        <w:spacing w:line="360" w:lineRule="auto"/>
        <w:ind w:firstLine="709"/>
        <w:jc w:val="both"/>
        <w:rPr>
          <w:sz w:val="28"/>
        </w:rPr>
      </w:pPr>
      <w:r>
        <w:rPr>
          <w:sz w:val="28"/>
        </w:rPr>
        <w:t>- подготовка к практическим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lastRenderedPageBreak/>
        <w:t xml:space="preserve"> </w:t>
      </w:r>
      <w:bookmarkStart w:id="6" w:name="_Toc15425684"/>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685"/>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1" w:name="_Toc15425686"/>
      <w:r>
        <w:t>3.2</w:t>
      </w:r>
      <w:r w:rsidR="00281AE0" w:rsidRPr="0082553E">
        <w:t xml:space="preserve"> Методические рекомендации по подготовке к лабораторным занятиям</w:t>
      </w:r>
      <w:bookmarkEnd w:id="11"/>
      <w:r w:rsidR="00281AE0" w:rsidRPr="0082553E">
        <w:t xml:space="preserve"> </w:t>
      </w:r>
      <w:bookmarkEnd w:id="10"/>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 лабораторной работ</w:t>
      </w:r>
      <w:proofErr w:type="gramEnd"/>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лабо</w:t>
      </w:r>
      <w:r>
        <w:rPr>
          <w:sz w:val="28"/>
          <w:szCs w:val="28"/>
        </w:rPr>
        <w:t>раторного 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6A2B17" w:rsidRPr="004B36C8" w:rsidRDefault="006A2B17" w:rsidP="00F93A3A">
      <w:pPr>
        <w:pStyle w:val="a3"/>
        <w:spacing w:line="360" w:lineRule="auto"/>
        <w:ind w:left="0" w:firstLine="709"/>
        <w:jc w:val="both"/>
        <w:rPr>
          <w:rFonts w:ascii="Times New Roman" w:hAnsi="Times New Roman"/>
          <w:b/>
          <w:color w:val="FF0000"/>
          <w:sz w:val="28"/>
          <w:szCs w:val="28"/>
        </w:rPr>
      </w:pPr>
      <w:r w:rsidRPr="006A2B17">
        <w:rPr>
          <w:rFonts w:ascii="Times New Roman" w:hAnsi="Times New Roman"/>
          <w:sz w:val="28"/>
        </w:rPr>
        <w:t xml:space="preserve">Общая биология с основами </w:t>
      </w:r>
      <w:proofErr w:type="gramStart"/>
      <w:r w:rsidRPr="006A2B17">
        <w:rPr>
          <w:rFonts w:ascii="Times New Roman" w:hAnsi="Times New Roman"/>
          <w:sz w:val="28"/>
        </w:rPr>
        <w:t>экологии :</w:t>
      </w:r>
      <w:proofErr w:type="gramEnd"/>
      <w:r w:rsidRPr="006A2B17">
        <w:rPr>
          <w:rFonts w:ascii="Times New Roman" w:hAnsi="Times New Roman"/>
          <w:sz w:val="28"/>
        </w:rPr>
        <w:t xml:space="preserve"> </w:t>
      </w:r>
      <w:r w:rsidRPr="006A2B17">
        <w:rPr>
          <w:rFonts w:ascii="Times New Roman" w:hAnsi="Times New Roman"/>
          <w:sz w:val="28"/>
          <w:szCs w:val="28"/>
        </w:rPr>
        <w:t xml:space="preserve">методические указания </w:t>
      </w:r>
      <w:r w:rsidRPr="006A2B17">
        <w:rPr>
          <w:rFonts w:ascii="Times New Roman" w:eastAsia="Times New Roman" w:hAnsi="Times New Roman"/>
          <w:sz w:val="28"/>
          <w:szCs w:val="28"/>
        </w:rPr>
        <w:t>по выполнению лабораторных работ</w:t>
      </w:r>
      <w:r w:rsidRPr="006A2B17">
        <w:rPr>
          <w:rFonts w:ascii="Times New Roman" w:hAnsi="Times New Roman"/>
          <w:sz w:val="28"/>
          <w:szCs w:val="28"/>
        </w:rPr>
        <w:t xml:space="preserve"> / сост.: </w:t>
      </w:r>
      <w:r w:rsidR="003B22E1">
        <w:rPr>
          <w:rFonts w:ascii="Times New Roman" w:hAnsi="Times New Roman"/>
          <w:sz w:val="28"/>
          <w:szCs w:val="28"/>
        </w:rPr>
        <w:t xml:space="preserve">Е.В. Криволапова, </w:t>
      </w:r>
      <w:r w:rsidRPr="006A2B17">
        <w:rPr>
          <w:rFonts w:ascii="Times New Roman" w:hAnsi="Times New Roman"/>
          <w:sz w:val="28"/>
          <w:szCs w:val="28"/>
        </w:rPr>
        <w:t xml:space="preserve">М. А. </w:t>
      </w:r>
      <w:proofErr w:type="spellStart"/>
      <w:r w:rsidRPr="006A2B17">
        <w:rPr>
          <w:rFonts w:ascii="Times New Roman" w:hAnsi="Times New Roman"/>
          <w:sz w:val="28"/>
          <w:szCs w:val="28"/>
        </w:rPr>
        <w:t>Щебланова</w:t>
      </w:r>
      <w:proofErr w:type="spellEnd"/>
      <w:r w:rsidRPr="006A2B17">
        <w:rPr>
          <w:rFonts w:ascii="Times New Roman" w:hAnsi="Times New Roman"/>
          <w:sz w:val="28"/>
          <w:szCs w:val="28"/>
        </w:rPr>
        <w:t xml:space="preserve">. -  </w:t>
      </w:r>
      <w:proofErr w:type="spellStart"/>
      <w:r w:rsidRPr="006A2B17">
        <w:rPr>
          <w:rFonts w:ascii="Times New Roman" w:hAnsi="Times New Roman"/>
          <w:sz w:val="28"/>
          <w:szCs w:val="28"/>
        </w:rPr>
        <w:t>Бузулукский</w:t>
      </w:r>
      <w:proofErr w:type="spellEnd"/>
      <w:r w:rsidRPr="006A2B17">
        <w:rPr>
          <w:rFonts w:ascii="Times New Roman" w:hAnsi="Times New Roman"/>
          <w:sz w:val="28"/>
          <w:szCs w:val="28"/>
        </w:rPr>
        <w:t xml:space="preserve"> </w:t>
      </w:r>
      <w:r w:rsidRPr="004B36C8">
        <w:rPr>
          <w:rFonts w:ascii="Times New Roman" w:hAnsi="Times New Roman"/>
          <w:sz w:val="28"/>
          <w:szCs w:val="28"/>
        </w:rPr>
        <w:t xml:space="preserve">гуманитарно-технолог. ин-т (филиал) ОГУ. – </w:t>
      </w:r>
      <w:proofErr w:type="gramStart"/>
      <w:r w:rsidRPr="004B36C8">
        <w:rPr>
          <w:rFonts w:ascii="Times New Roman" w:hAnsi="Times New Roman"/>
          <w:sz w:val="28"/>
          <w:szCs w:val="28"/>
        </w:rPr>
        <w:t>Бузулук :</w:t>
      </w:r>
      <w:proofErr w:type="gramEnd"/>
      <w:r w:rsidRPr="004B36C8">
        <w:rPr>
          <w:rFonts w:ascii="Times New Roman" w:hAnsi="Times New Roman"/>
          <w:sz w:val="28"/>
          <w:szCs w:val="28"/>
        </w:rPr>
        <w:t xml:space="preserve"> БГТИ (филиал) ОГУ, </w:t>
      </w:r>
      <w:r w:rsidR="008748D3">
        <w:rPr>
          <w:rFonts w:ascii="Times New Roman" w:hAnsi="Times New Roman"/>
          <w:sz w:val="28"/>
          <w:szCs w:val="28"/>
        </w:rPr>
        <w:t>2018</w:t>
      </w:r>
      <w:r w:rsidRPr="004B36C8">
        <w:rPr>
          <w:rFonts w:ascii="Times New Roman" w:hAnsi="Times New Roman"/>
          <w:sz w:val="28"/>
          <w:szCs w:val="28"/>
        </w:rPr>
        <w:t xml:space="preserve">. – </w:t>
      </w:r>
      <w:r w:rsidR="00373BB9">
        <w:rPr>
          <w:rFonts w:ascii="Times New Roman" w:hAnsi="Times New Roman"/>
          <w:sz w:val="28"/>
          <w:szCs w:val="28"/>
        </w:rPr>
        <w:t>61</w:t>
      </w:r>
      <w:r w:rsidRPr="004B36C8">
        <w:rPr>
          <w:rFonts w:ascii="Times New Roman" w:hAnsi="Times New Roman"/>
          <w:sz w:val="28"/>
          <w:szCs w:val="28"/>
        </w:rPr>
        <w:t xml:space="preserve"> с.</w:t>
      </w:r>
    </w:p>
    <w:p w:rsidR="00F93A3A" w:rsidRPr="0082553E" w:rsidRDefault="00F93A3A" w:rsidP="00F93A3A">
      <w:pPr>
        <w:pStyle w:val="1"/>
      </w:pPr>
      <w:bookmarkStart w:id="12" w:name="_Toc15425687"/>
      <w:r>
        <w:t xml:space="preserve">3.3 </w:t>
      </w:r>
      <w:r w:rsidRPr="0082553E">
        <w:t>Методические рекомендации по подготовке к практическим занятиям</w:t>
      </w:r>
      <w:bookmarkEnd w:id="12"/>
      <w:r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Общая биология с основами экологии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F93A3A" w:rsidP="00F93A3A">
      <w:pPr>
        <w:pStyle w:val="ab"/>
        <w:shd w:val="clear" w:color="auto" w:fill="FFFFFF"/>
        <w:spacing w:before="0" w:beforeAutospacing="0" w:after="0" w:afterAutospacing="0" w:line="360" w:lineRule="auto"/>
        <w:ind w:firstLine="709"/>
        <w:jc w:val="both"/>
        <w:rPr>
          <w:sz w:val="28"/>
          <w:szCs w:val="28"/>
        </w:rPr>
      </w:pPr>
      <w:r w:rsidRPr="00751FA9">
        <w:rPr>
          <w:sz w:val="28"/>
        </w:rPr>
        <w:t xml:space="preserve">Общая биология с основами </w:t>
      </w:r>
      <w:proofErr w:type="gramStart"/>
      <w:r w:rsidRPr="00751FA9">
        <w:rPr>
          <w:sz w:val="28"/>
        </w:rPr>
        <w:t>экологии :</w:t>
      </w:r>
      <w:proofErr w:type="gramEnd"/>
      <w:r w:rsidRPr="00751FA9">
        <w:rPr>
          <w:sz w:val="28"/>
        </w:rPr>
        <w:t xml:space="preserve"> </w:t>
      </w:r>
      <w:r w:rsidRPr="00751FA9">
        <w:rPr>
          <w:sz w:val="28"/>
          <w:szCs w:val="28"/>
        </w:rPr>
        <w:t xml:space="preserve">методические указания по выполнению </w:t>
      </w:r>
      <w:r>
        <w:rPr>
          <w:sz w:val="28"/>
          <w:szCs w:val="28"/>
        </w:rPr>
        <w:t>практических</w:t>
      </w:r>
      <w:r w:rsidRPr="00751FA9">
        <w:rPr>
          <w:sz w:val="28"/>
          <w:szCs w:val="28"/>
        </w:rPr>
        <w:t xml:space="preserve"> работ / сост.: </w:t>
      </w:r>
      <w:r w:rsidR="003B22E1">
        <w:rPr>
          <w:sz w:val="28"/>
          <w:szCs w:val="28"/>
        </w:rPr>
        <w:t xml:space="preserve">Е.В. Криволапова, </w:t>
      </w:r>
      <w:r w:rsidRPr="00751FA9">
        <w:rPr>
          <w:sz w:val="28"/>
          <w:szCs w:val="28"/>
        </w:rPr>
        <w:t xml:space="preserve">М. А. </w:t>
      </w:r>
      <w:proofErr w:type="spellStart"/>
      <w:r w:rsidRPr="00751FA9">
        <w:rPr>
          <w:sz w:val="28"/>
          <w:szCs w:val="28"/>
        </w:rPr>
        <w:t>Щебланова</w:t>
      </w:r>
      <w:proofErr w:type="spellEnd"/>
      <w:r w:rsidRPr="00751FA9">
        <w:rPr>
          <w:sz w:val="28"/>
          <w:szCs w:val="28"/>
        </w:rPr>
        <w:t xml:space="preserve">. -  </w:t>
      </w:r>
      <w:proofErr w:type="spellStart"/>
      <w:r w:rsidRPr="00751FA9">
        <w:rPr>
          <w:sz w:val="28"/>
          <w:szCs w:val="28"/>
        </w:rPr>
        <w:t>Бузулукский</w:t>
      </w:r>
      <w:proofErr w:type="spellEnd"/>
      <w:r w:rsidRPr="00751FA9">
        <w:rPr>
          <w:sz w:val="28"/>
          <w:szCs w:val="28"/>
        </w:rPr>
        <w:t xml:space="preserve"> гуманитарно-технолог. ин-т (филиал) ОГУ. – </w:t>
      </w:r>
      <w:proofErr w:type="gramStart"/>
      <w:r w:rsidRPr="00751FA9">
        <w:rPr>
          <w:sz w:val="28"/>
          <w:szCs w:val="28"/>
        </w:rPr>
        <w:t>Бузулук :</w:t>
      </w:r>
      <w:proofErr w:type="gramEnd"/>
      <w:r w:rsidRPr="00751FA9">
        <w:rPr>
          <w:sz w:val="28"/>
          <w:szCs w:val="28"/>
        </w:rPr>
        <w:t xml:space="preserve"> БГТИ (филиал) ОГУ, </w:t>
      </w:r>
      <w:r w:rsidR="008748D3">
        <w:rPr>
          <w:sz w:val="28"/>
          <w:szCs w:val="28"/>
        </w:rPr>
        <w:t>2018</w:t>
      </w:r>
      <w:r w:rsidRPr="00751FA9">
        <w:rPr>
          <w:sz w:val="28"/>
          <w:szCs w:val="28"/>
        </w:rPr>
        <w:t xml:space="preserve">. – </w:t>
      </w:r>
      <w:r>
        <w:rPr>
          <w:sz w:val="28"/>
          <w:szCs w:val="28"/>
        </w:rPr>
        <w:t>90</w:t>
      </w:r>
      <w:r w:rsidRPr="00E63F62">
        <w:rPr>
          <w:sz w:val="28"/>
          <w:szCs w:val="28"/>
        </w:rPr>
        <w:t xml:space="preserve"> с.</w:t>
      </w:r>
    </w:p>
    <w:p w:rsidR="003808BE" w:rsidRDefault="00F93A3A" w:rsidP="003808BE">
      <w:pPr>
        <w:pStyle w:val="1"/>
        <w:spacing w:line="360" w:lineRule="auto"/>
        <w:ind w:left="0" w:firstLine="708"/>
      </w:pPr>
      <w:bookmarkStart w:id="13" w:name="_Toc15425688"/>
      <w:r>
        <w:t>3.4</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roofErr w:type="gramStart"/>
      <w:r w:rsidRPr="003808BE">
        <w:rPr>
          <w:color w:val="000000"/>
          <w:sz w:val="28"/>
          <w:szCs w:val="28"/>
        </w:rPr>
        <w:t>Например</w:t>
      </w:r>
      <w:proofErr w:type="gramEnd"/>
      <w:r w:rsidRPr="003808BE">
        <w:rPr>
          <w:color w:val="000000"/>
          <w:sz w:val="28"/>
          <w:szCs w:val="28"/>
        </w:rPr>
        <w:t>: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задач и запись решения в общем виде выполняется, в буквенных обозначениях, при этом промежуточные вычисления не производят. В результате </w:t>
      </w:r>
      <w:r w:rsidRPr="003808BE">
        <w:rPr>
          <w:color w:val="000000"/>
          <w:sz w:val="28"/>
          <w:szCs w:val="28"/>
        </w:rPr>
        <w:lastRenderedPageBreak/>
        <w:t>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p>
    <w:p w:rsidR="00F93A3A" w:rsidRPr="00F93A3A" w:rsidRDefault="00F93A3A" w:rsidP="00F93A3A">
      <w:pPr>
        <w:pStyle w:val="1"/>
        <w:spacing w:before="0" w:after="0" w:line="360" w:lineRule="auto"/>
        <w:ind w:left="0" w:firstLine="708"/>
        <w:rPr>
          <w:rFonts w:cs="Times New Roman"/>
          <w:b w:val="0"/>
          <w:color w:val="000000"/>
          <w:szCs w:val="28"/>
          <w:shd w:val="clear" w:color="auto" w:fill="FFFFFF"/>
        </w:rPr>
      </w:pPr>
      <w:bookmarkStart w:id="20" w:name="_Toc15425690"/>
      <w:r w:rsidRPr="00F93A3A">
        <w:rPr>
          <w:b w:val="0"/>
        </w:rPr>
        <w:t xml:space="preserve">Общая биология с основами </w:t>
      </w:r>
      <w:proofErr w:type="gramStart"/>
      <w:r w:rsidRPr="00F93A3A">
        <w:rPr>
          <w:b w:val="0"/>
        </w:rPr>
        <w:t>экологии :</w:t>
      </w:r>
      <w:proofErr w:type="gramEnd"/>
      <w:r w:rsidRPr="00F93A3A">
        <w:rPr>
          <w:b w:val="0"/>
        </w:rPr>
        <w:t xml:space="preserve"> </w:t>
      </w:r>
      <w:r w:rsidRPr="00F93A3A">
        <w:rPr>
          <w:b w:val="0"/>
          <w:szCs w:val="28"/>
        </w:rPr>
        <w:t xml:space="preserve">методические указания </w:t>
      </w:r>
      <w:r w:rsidRPr="00F93A3A">
        <w:rPr>
          <w:rFonts w:eastAsia="Times New Roman"/>
          <w:b w:val="0"/>
          <w:szCs w:val="28"/>
        </w:rPr>
        <w:t>по выполнению практических работ</w:t>
      </w:r>
      <w:r w:rsidRPr="00F93A3A">
        <w:rPr>
          <w:b w:val="0"/>
          <w:szCs w:val="28"/>
        </w:rPr>
        <w:t xml:space="preserve"> / сост.: </w:t>
      </w:r>
      <w:r w:rsidR="001B25E9" w:rsidRPr="001B25E9">
        <w:rPr>
          <w:rFonts w:cs="Times New Roman"/>
          <w:b w:val="0"/>
          <w:szCs w:val="28"/>
        </w:rPr>
        <w:t xml:space="preserve">Е.В. Криволапова, М. А. </w:t>
      </w:r>
      <w:proofErr w:type="spellStart"/>
      <w:r w:rsidR="001B25E9" w:rsidRPr="001B25E9">
        <w:rPr>
          <w:rFonts w:cs="Times New Roman"/>
          <w:b w:val="0"/>
          <w:szCs w:val="28"/>
        </w:rPr>
        <w:t>Щебланова</w:t>
      </w:r>
      <w:proofErr w:type="spellEnd"/>
      <w:r w:rsidRPr="00F93A3A">
        <w:rPr>
          <w:b w:val="0"/>
          <w:szCs w:val="28"/>
        </w:rPr>
        <w:t xml:space="preserve">. -  </w:t>
      </w:r>
      <w:proofErr w:type="spellStart"/>
      <w:r w:rsidRPr="00F93A3A">
        <w:rPr>
          <w:b w:val="0"/>
          <w:szCs w:val="28"/>
        </w:rPr>
        <w:t>Бузулукский</w:t>
      </w:r>
      <w:proofErr w:type="spellEnd"/>
      <w:r w:rsidRPr="00F93A3A">
        <w:rPr>
          <w:b w:val="0"/>
          <w:szCs w:val="28"/>
        </w:rPr>
        <w:t xml:space="preserve"> гуманитарно-технолог. ин-т (филиал) ОГУ. – </w:t>
      </w:r>
      <w:proofErr w:type="gramStart"/>
      <w:r w:rsidRPr="00F93A3A">
        <w:rPr>
          <w:b w:val="0"/>
          <w:szCs w:val="28"/>
        </w:rPr>
        <w:t>Бузулук :</w:t>
      </w:r>
      <w:proofErr w:type="gramEnd"/>
      <w:r w:rsidRPr="00F93A3A">
        <w:rPr>
          <w:b w:val="0"/>
          <w:szCs w:val="28"/>
        </w:rPr>
        <w:t xml:space="preserve"> БГТИ (филиал) ОГУ, </w:t>
      </w:r>
      <w:r w:rsidR="008748D3">
        <w:rPr>
          <w:b w:val="0"/>
          <w:szCs w:val="28"/>
        </w:rPr>
        <w:t>2018</w:t>
      </w:r>
      <w:r w:rsidRPr="00F93A3A">
        <w:rPr>
          <w:b w:val="0"/>
          <w:szCs w:val="28"/>
        </w:rPr>
        <w:t>. – 90 с.</w:t>
      </w:r>
      <w:bookmarkEnd w:id="20"/>
    </w:p>
    <w:p w:rsidR="00281AE0" w:rsidRPr="0082553E" w:rsidRDefault="00DA5DAD" w:rsidP="002A70A8">
      <w:pPr>
        <w:pStyle w:val="1"/>
        <w:spacing w:line="360" w:lineRule="auto"/>
        <w:ind w:left="0" w:firstLine="708"/>
      </w:pPr>
      <w:bookmarkStart w:id="21" w:name="_Toc15425691"/>
      <w:r>
        <w:t>3</w:t>
      </w:r>
      <w:r w:rsidR="00F93A3A">
        <w:t>.5</w:t>
      </w:r>
      <w:r w:rsidR="00446EAC" w:rsidRPr="0082553E">
        <w:t xml:space="preserve"> </w:t>
      </w:r>
      <w:r w:rsidR="00281AE0" w:rsidRPr="0082553E">
        <w:t>Методические рекомендации по подготовке к рубежному контролю</w:t>
      </w:r>
      <w:bookmarkEnd w:id="21"/>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A2B17" w:rsidRDefault="0019189A" w:rsidP="006A2B17">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DA5DAD" w:rsidRPr="006030D2" w:rsidRDefault="00F93A3A" w:rsidP="00127394">
      <w:pPr>
        <w:pStyle w:val="1"/>
        <w:ind w:left="0" w:firstLine="708"/>
      </w:pPr>
      <w:bookmarkStart w:id="22" w:name="_Toc536703849"/>
      <w:bookmarkStart w:id="23" w:name="_Toc15425692"/>
      <w:bookmarkStart w:id="24" w:name="_Toc534396314"/>
      <w:bookmarkEnd w:id="5"/>
      <w:r>
        <w:t>3.6</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2"/>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разном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25" w:name="_GoBack"/>
      <w:bookmarkEnd w:id="25"/>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15425693"/>
      <w:r w:rsidRPr="00E07E76">
        <w:rPr>
          <w:sz w:val="32"/>
        </w:rPr>
        <w:t>4 Контроль и управление самостоятельной работой студентов</w:t>
      </w:r>
      <w:bookmarkEnd w:id="24"/>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7F4FAF">
        <w:rPr>
          <w:rFonts w:ascii="Times New Roman" w:hAnsi="Times New Roman" w:cs="Times New Roman"/>
          <w:sz w:val="28"/>
        </w:rPr>
        <w:t>Общая биология с основами экологии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EE" w:rsidRDefault="001620EE" w:rsidP="00FF0076">
      <w:pPr>
        <w:spacing w:after="0" w:line="240" w:lineRule="auto"/>
      </w:pPr>
      <w:r>
        <w:separator/>
      </w:r>
    </w:p>
  </w:endnote>
  <w:endnote w:type="continuationSeparator" w:id="0">
    <w:p w:rsidR="001620EE" w:rsidRDefault="001620E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27394">
          <w:rPr>
            <w:rFonts w:ascii="Times New Roman" w:hAnsi="Times New Roman" w:cs="Times New Roman"/>
            <w:noProof/>
            <w:sz w:val="24"/>
          </w:rPr>
          <w:t>16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EE" w:rsidRDefault="001620EE" w:rsidP="00FF0076">
      <w:pPr>
        <w:spacing w:after="0" w:line="240" w:lineRule="auto"/>
      </w:pPr>
      <w:r>
        <w:separator/>
      </w:r>
    </w:p>
  </w:footnote>
  <w:footnote w:type="continuationSeparator" w:id="0">
    <w:p w:rsidR="001620EE" w:rsidRDefault="001620E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27394"/>
    <w:rsid w:val="0014634D"/>
    <w:rsid w:val="001620EE"/>
    <w:rsid w:val="0019189A"/>
    <w:rsid w:val="001B1DC3"/>
    <w:rsid w:val="001B25E9"/>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45636"/>
    <w:rsid w:val="00553C6A"/>
    <w:rsid w:val="0056304A"/>
    <w:rsid w:val="00574159"/>
    <w:rsid w:val="005D5474"/>
    <w:rsid w:val="005E089E"/>
    <w:rsid w:val="00604D48"/>
    <w:rsid w:val="00610F0E"/>
    <w:rsid w:val="00644501"/>
    <w:rsid w:val="006454D5"/>
    <w:rsid w:val="006A2B17"/>
    <w:rsid w:val="006E4BF3"/>
    <w:rsid w:val="00726084"/>
    <w:rsid w:val="00733C5E"/>
    <w:rsid w:val="00763DD3"/>
    <w:rsid w:val="007716C5"/>
    <w:rsid w:val="0077488C"/>
    <w:rsid w:val="00797A46"/>
    <w:rsid w:val="007A0D28"/>
    <w:rsid w:val="007D7440"/>
    <w:rsid w:val="007F07B5"/>
    <w:rsid w:val="007F4FAF"/>
    <w:rsid w:val="00803E1C"/>
    <w:rsid w:val="0081683A"/>
    <w:rsid w:val="0082553E"/>
    <w:rsid w:val="008533FE"/>
    <w:rsid w:val="008748D3"/>
    <w:rsid w:val="00875B1D"/>
    <w:rsid w:val="00895744"/>
    <w:rsid w:val="008D4983"/>
    <w:rsid w:val="008D4D99"/>
    <w:rsid w:val="008E254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26244"/>
    <w:rsid w:val="00E32E34"/>
    <w:rsid w:val="00E87CBE"/>
    <w:rsid w:val="00ED2D70"/>
    <w:rsid w:val="00EE4CC8"/>
    <w:rsid w:val="00F253FA"/>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DFEA8-8934-466A-B26C-FB3975D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0EA4-648E-4E34-8CA6-4F55D3D8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4654</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sheblanovi@outlook.com</cp:lastModifiedBy>
  <cp:revision>60</cp:revision>
  <cp:lastPrinted>2019-10-08T14:17:00Z</cp:lastPrinted>
  <dcterms:created xsi:type="dcterms:W3CDTF">2017-01-18T09:17:00Z</dcterms:created>
  <dcterms:modified xsi:type="dcterms:W3CDTF">2020-01-09T14:55:00Z</dcterms:modified>
</cp:coreProperties>
</file>