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E92192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E78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5D554E" w:rsidRPr="00F1167F">
        <w:rPr>
          <w:rFonts w:ascii="Times New Roman" w:eastAsia="Calibri" w:hAnsi="Times New Roman" w:cs="Times New Roman"/>
          <w:sz w:val="24"/>
        </w:rPr>
        <w:t xml:space="preserve"> 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Теоретико-методологические основы специальной педагогики и психологии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</w:t>
      </w:r>
      <w:r w:rsidR="00A154F0" w:rsidRPr="006971FD">
        <w:rPr>
          <w:rFonts w:ascii="Times New Roman" w:hAnsi="Times New Roman" w:cs="Times New Roman"/>
          <w:sz w:val="28"/>
          <w:szCs w:val="28"/>
        </w:rPr>
        <w:t>а</w:t>
      </w:r>
      <w:r w:rsidR="00A154F0" w:rsidRPr="006971FD">
        <w:rPr>
          <w:rFonts w:ascii="Times New Roman" w:hAnsi="Times New Roman" w:cs="Times New Roman"/>
          <w:sz w:val="28"/>
          <w:szCs w:val="28"/>
        </w:rPr>
        <w:t>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стное образование возраста, концентрированно выражающее его особенн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ниями,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ступления нарушения; состояние интеллектуальных возможностей, опорно-двигательной системы детей; уровень развития речи; причины сложных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рушений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диагностико-консультативную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лабление или преодоление недостатков психофизического развития и откл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педагогики.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педагогики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н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Как изменяется психическое развитие детей в зависимости от времени н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</w:t>
      </w:r>
      <w:r w:rsidRPr="0096278D">
        <w:rPr>
          <w:rFonts w:ascii="Times New Roman" w:hAnsi="Times New Roman" w:cs="Times New Roman"/>
          <w:sz w:val="28"/>
          <w:szCs w:val="28"/>
        </w:rPr>
        <w:t>ф</w:t>
      </w:r>
      <w:r w:rsidRPr="0096278D">
        <w:rPr>
          <w:rFonts w:ascii="Times New Roman" w:hAnsi="Times New Roman" w:cs="Times New Roman"/>
          <w:sz w:val="28"/>
          <w:szCs w:val="28"/>
        </w:rPr>
        <w:t>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поздноосле</w:t>
      </w:r>
      <w:r w:rsidRPr="0096278D">
        <w:rPr>
          <w:rFonts w:ascii="Times New Roman" w:hAnsi="Times New Roman" w:cs="Times New Roman"/>
          <w:sz w:val="28"/>
          <w:szCs w:val="28"/>
        </w:rPr>
        <w:t>п</w:t>
      </w:r>
      <w:r w:rsidRPr="0096278D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цере</w:t>
      </w:r>
      <w:r w:rsidR="0096278D" w:rsidRPr="0096278D">
        <w:rPr>
          <w:rFonts w:ascii="Times New Roman" w:hAnsi="Times New Roman" w:cs="Times New Roman"/>
          <w:sz w:val="28"/>
          <w:szCs w:val="28"/>
        </w:rPr>
        <w:t>б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цере</w:t>
      </w:r>
      <w:r w:rsidR="0096278D" w:rsidRPr="0096278D">
        <w:rPr>
          <w:rFonts w:ascii="Times New Roman" w:hAnsi="Times New Roman" w:cs="Times New Roman"/>
          <w:sz w:val="28"/>
          <w:szCs w:val="28"/>
        </w:rPr>
        <w:t>б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</w:t>
      </w:r>
      <w:r w:rsidRPr="003C15D4">
        <w:rPr>
          <w:rFonts w:ascii="Times New Roman" w:hAnsi="Times New Roman" w:cs="Times New Roman"/>
          <w:sz w:val="28"/>
          <w:szCs w:val="28"/>
        </w:rPr>
        <w:t>с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воз-можностями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воз-расте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spellStart"/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Психолого-медико-педагогические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агностировать умения, 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тегрировать знания разли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ных областей, аргумент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собственную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«зачтено».  Студент, не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полнивший минимальный объем учебной работы по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дисциплине, не допускае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гвистические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влияющие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E8" w:rsidRDefault="007A60E8" w:rsidP="006971FD">
      <w:pPr>
        <w:spacing w:after="0" w:line="240" w:lineRule="auto"/>
      </w:pPr>
      <w:r>
        <w:separator/>
      </w:r>
    </w:p>
  </w:endnote>
  <w:endnote w:type="continuationSeparator" w:id="0">
    <w:p w:rsidR="007A60E8" w:rsidRDefault="007A60E8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E8" w:rsidRDefault="007A60E8" w:rsidP="006971FD">
      <w:pPr>
        <w:spacing w:after="0" w:line="240" w:lineRule="auto"/>
      </w:pPr>
      <w:r>
        <w:separator/>
      </w:r>
    </w:p>
  </w:footnote>
  <w:footnote w:type="continuationSeparator" w:id="0">
    <w:p w:rsidR="007A60E8" w:rsidRDefault="007A60E8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A1826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5D554E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A60E8"/>
    <w:rsid w:val="007F5358"/>
    <w:rsid w:val="00810AFE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C3D59"/>
    <w:rsid w:val="009E5EC9"/>
    <w:rsid w:val="00A00C26"/>
    <w:rsid w:val="00A154F0"/>
    <w:rsid w:val="00A32E08"/>
    <w:rsid w:val="00A36556"/>
    <w:rsid w:val="00A44B4D"/>
    <w:rsid w:val="00A53E78"/>
    <w:rsid w:val="00A56267"/>
    <w:rsid w:val="00A61ABB"/>
    <w:rsid w:val="00AC7A90"/>
    <w:rsid w:val="00B26F7F"/>
    <w:rsid w:val="00B52CAE"/>
    <w:rsid w:val="00B806E5"/>
    <w:rsid w:val="00BC001F"/>
    <w:rsid w:val="00C22F17"/>
    <w:rsid w:val="00C367D9"/>
    <w:rsid w:val="00C57012"/>
    <w:rsid w:val="00C82DEE"/>
    <w:rsid w:val="00CA0066"/>
    <w:rsid w:val="00CB3E79"/>
    <w:rsid w:val="00D03DAD"/>
    <w:rsid w:val="00D135AC"/>
    <w:rsid w:val="00D1413F"/>
    <w:rsid w:val="00D256B8"/>
    <w:rsid w:val="00D4141E"/>
    <w:rsid w:val="00D554CD"/>
    <w:rsid w:val="00D55510"/>
    <w:rsid w:val="00D858C9"/>
    <w:rsid w:val="00D94195"/>
    <w:rsid w:val="00DA1EAB"/>
    <w:rsid w:val="00DE158E"/>
    <w:rsid w:val="00E8592C"/>
    <w:rsid w:val="00E92192"/>
    <w:rsid w:val="00EA6C5F"/>
    <w:rsid w:val="00EF2F41"/>
    <w:rsid w:val="00F25C45"/>
    <w:rsid w:val="00F34B31"/>
    <w:rsid w:val="00F41F70"/>
    <w:rsid w:val="00F763B4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9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5B55-F4B4-4FBE-877E-CE963E5E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10484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2019-12-20T10:54:00Z</cp:lastPrinted>
  <dcterms:created xsi:type="dcterms:W3CDTF">2020-09-15T10:03:00Z</dcterms:created>
  <dcterms:modified xsi:type="dcterms:W3CDTF">2020-09-15T10:03:00Z</dcterms:modified>
</cp:coreProperties>
</file>