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FE27DA">
        <w:rPr>
          <w:sz w:val="24"/>
        </w:rPr>
        <w:t xml:space="preserve"> 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993B4A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Pr="00993B4A" w:rsidRDefault="00993B4A" w:rsidP="00B540AF">
      <w:pPr>
        <w:pStyle w:val="ReportHead"/>
        <w:suppressAutoHyphens/>
        <w:rPr>
          <w:i/>
          <w:sz w:val="24"/>
        </w:rPr>
      </w:pPr>
      <w:r w:rsidRPr="00993B4A">
        <w:rPr>
          <w:i/>
          <w:sz w:val="24"/>
        </w:rPr>
        <w:t>Очная</w:t>
      </w:r>
      <w:r>
        <w:rPr>
          <w:i/>
          <w:sz w:val="24"/>
        </w:rPr>
        <w:t xml:space="preserve"> </w:t>
      </w:r>
      <w:r w:rsidRPr="00993B4A">
        <w:rPr>
          <w:i/>
          <w:sz w:val="24"/>
        </w:rPr>
        <w:t xml:space="preserve"> з</w:t>
      </w:r>
      <w:r w:rsidR="00B540AF" w:rsidRPr="00993B4A">
        <w:rPr>
          <w:i/>
          <w:sz w:val="24"/>
        </w:rPr>
        <w:t>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504850" w:rsidP="00B540AF">
      <w:pPr>
        <w:pStyle w:val="ReportHead"/>
        <w:suppressAutoHyphens/>
        <w:rPr>
          <w:sz w:val="24"/>
        </w:rPr>
      </w:pPr>
      <w:r>
        <w:rPr>
          <w:sz w:val="24"/>
        </w:rPr>
        <w:t>20</w:t>
      </w:r>
      <w:r w:rsidR="00993B4A">
        <w:rPr>
          <w:sz w:val="24"/>
        </w:rPr>
        <w:t>21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="0099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Социология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</w:t>
      </w:r>
      <w:r w:rsidR="0050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99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50485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993B4A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993B4A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40AF" w:rsidRPr="00993B4A">
        <w:rPr>
          <w:rFonts w:ascii="Times New Roman" w:hAnsi="Times New Roman" w:cs="Times New Roman"/>
          <w:sz w:val="24"/>
          <w:szCs w:val="24"/>
        </w:rPr>
        <w:t>4</w:t>
      </w:r>
      <w:r w:rsidR="00993B4A" w:rsidRPr="00993B4A">
        <w:rPr>
          <w:rFonts w:ascii="Times New Roman" w:hAnsi="Times New Roman" w:cs="Times New Roman"/>
          <w:sz w:val="24"/>
          <w:szCs w:val="24"/>
        </w:rPr>
        <w:t>4.03.01 Педагогическое образова</w:t>
      </w:r>
      <w:r w:rsidR="00B540AF" w:rsidRPr="00993B4A">
        <w:rPr>
          <w:rFonts w:ascii="Times New Roman" w:hAnsi="Times New Roman" w:cs="Times New Roman"/>
          <w:sz w:val="24"/>
          <w:szCs w:val="24"/>
        </w:rPr>
        <w:t>ние</w:t>
      </w:r>
    </w:p>
    <w:p w:rsidR="00A91AD6" w:rsidRPr="00993B4A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93B4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9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93B4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163B1E" w:rsidRPr="00FC37BA" w:rsidRDefault="00A91AD6" w:rsidP="00FC37BA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9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© БГТИ (филиал) ОГУ, 2021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BA" w:rsidRDefault="00FC37B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BA" w:rsidRDefault="00FC37B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BA" w:rsidRDefault="00FC37B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BA" w:rsidRDefault="00FC37B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277EB" w:rsidRDefault="004277EB" w:rsidP="004277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1 Цели и задачи освоения дисциплины</w:t>
      </w:r>
    </w:p>
    <w:p w:rsidR="00993B4A" w:rsidRDefault="004277EB" w:rsidP="00993B4A">
      <w:pPr>
        <w:tabs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4277EB">
        <w:rPr>
          <w:rFonts w:ascii="Times New Roman" w:hAnsi="Times New Roman" w:cs="Times New Roman"/>
          <w:b/>
          <w:sz w:val="28"/>
          <w:szCs w:val="28"/>
        </w:rPr>
        <w:t>Цели</w:t>
      </w:r>
      <w:r w:rsidRPr="004277EB">
        <w:rPr>
          <w:rFonts w:ascii="Times New Roman" w:hAnsi="Times New Roman" w:cs="Times New Roman"/>
          <w:sz w:val="28"/>
          <w:szCs w:val="28"/>
        </w:rPr>
        <w:t xml:space="preserve"> освоения дисциплины определяются необходимостью раскрыть возможности социологии как науки, ее связи с гуманитарными и педагогич</w:t>
      </w:r>
      <w:r w:rsidRPr="004277EB">
        <w:rPr>
          <w:rFonts w:ascii="Times New Roman" w:hAnsi="Times New Roman" w:cs="Times New Roman"/>
          <w:sz w:val="28"/>
          <w:szCs w:val="28"/>
        </w:rPr>
        <w:t>е</w:t>
      </w:r>
      <w:r w:rsidRPr="004277EB">
        <w:rPr>
          <w:rFonts w:ascii="Times New Roman" w:hAnsi="Times New Roman" w:cs="Times New Roman"/>
          <w:sz w:val="28"/>
          <w:szCs w:val="28"/>
        </w:rPr>
        <w:t>скими науками в изучении общества и происходящих в нем изменений;  в</w:t>
      </w:r>
      <w:r w:rsidRPr="004277EB">
        <w:rPr>
          <w:rFonts w:ascii="Times New Roman" w:hAnsi="Times New Roman" w:cs="Times New Roman"/>
          <w:sz w:val="28"/>
          <w:szCs w:val="28"/>
        </w:rPr>
        <w:t>ы</w:t>
      </w:r>
      <w:r w:rsidRPr="004277EB">
        <w:rPr>
          <w:rFonts w:ascii="Times New Roman" w:hAnsi="Times New Roman" w:cs="Times New Roman"/>
          <w:sz w:val="28"/>
          <w:szCs w:val="28"/>
        </w:rPr>
        <w:t xml:space="preserve">явить  специфику социологического знания, социальной </w:t>
      </w:r>
      <w:proofErr w:type="gramStart"/>
      <w:r w:rsidRPr="004277EB">
        <w:rPr>
          <w:rFonts w:ascii="Times New Roman" w:hAnsi="Times New Roman" w:cs="Times New Roman"/>
          <w:sz w:val="28"/>
          <w:szCs w:val="28"/>
        </w:rPr>
        <w:t>реальности</w:t>
      </w:r>
      <w:proofErr w:type="gramEnd"/>
      <w:r w:rsidRPr="004277EB">
        <w:rPr>
          <w:rFonts w:ascii="Times New Roman" w:hAnsi="Times New Roman" w:cs="Times New Roman"/>
          <w:sz w:val="28"/>
          <w:szCs w:val="28"/>
        </w:rPr>
        <w:t xml:space="preserve"> в том числе и в области  педагогического образования; научить пользоваться с</w:t>
      </w:r>
      <w:r w:rsidRPr="004277EB">
        <w:rPr>
          <w:rFonts w:ascii="Times New Roman" w:hAnsi="Times New Roman" w:cs="Times New Roman"/>
          <w:sz w:val="28"/>
          <w:szCs w:val="28"/>
        </w:rPr>
        <w:t>о</w:t>
      </w:r>
      <w:r w:rsidRPr="004277EB">
        <w:rPr>
          <w:rFonts w:ascii="Times New Roman" w:hAnsi="Times New Roman" w:cs="Times New Roman"/>
          <w:sz w:val="28"/>
          <w:szCs w:val="28"/>
        </w:rPr>
        <w:t>циологическим подходом в ходе анализа общественных  явлений и процессов в сферах общечеловеческой и  профессиональной деятельности</w:t>
      </w:r>
      <w:r w:rsidRPr="004277EB">
        <w:rPr>
          <w:sz w:val="28"/>
          <w:szCs w:val="28"/>
        </w:rPr>
        <w:t>.</w:t>
      </w:r>
    </w:p>
    <w:p w:rsidR="004277EB" w:rsidRPr="00993B4A" w:rsidRDefault="004277EB" w:rsidP="00993B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B4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3B4A">
        <w:rPr>
          <w:rFonts w:ascii="Times New Roman" w:hAnsi="Times New Roman" w:cs="Times New Roman"/>
          <w:sz w:val="28"/>
          <w:szCs w:val="28"/>
        </w:rPr>
        <w:t xml:space="preserve">  освоения дисциплины представлены в следующих положен</w:t>
      </w:r>
      <w:r w:rsidRPr="00993B4A">
        <w:rPr>
          <w:rFonts w:ascii="Times New Roman" w:hAnsi="Times New Roman" w:cs="Times New Roman"/>
          <w:sz w:val="28"/>
          <w:szCs w:val="28"/>
        </w:rPr>
        <w:t>и</w:t>
      </w:r>
      <w:r w:rsidRPr="00993B4A">
        <w:rPr>
          <w:rFonts w:ascii="Times New Roman" w:hAnsi="Times New Roman" w:cs="Times New Roman"/>
          <w:sz w:val="28"/>
          <w:szCs w:val="28"/>
        </w:rPr>
        <w:t>ях: углубление знаний и активизация творческих способностей обучающихся относительно образования как особой зоны социальной реальности; овлад</w:t>
      </w:r>
      <w:r w:rsidRPr="00993B4A">
        <w:rPr>
          <w:rFonts w:ascii="Times New Roman" w:hAnsi="Times New Roman" w:cs="Times New Roman"/>
          <w:sz w:val="28"/>
          <w:szCs w:val="28"/>
        </w:rPr>
        <w:t>е</w:t>
      </w:r>
      <w:r w:rsidRPr="00993B4A">
        <w:rPr>
          <w:rFonts w:ascii="Times New Roman" w:hAnsi="Times New Roman" w:cs="Times New Roman"/>
          <w:sz w:val="28"/>
          <w:szCs w:val="28"/>
        </w:rPr>
        <w:t>ние необходимым понятийным и терминологическим аппаратом в контексте содержания дисциплины; изучение мотивационного поля образовательного процесса.</w:t>
      </w:r>
    </w:p>
    <w:p w:rsidR="004277EB" w:rsidRPr="004277EB" w:rsidRDefault="004277EB" w:rsidP="004277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4277EB" w:rsidRDefault="004277EB" w:rsidP="004277E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277EB" w:rsidRDefault="004277EB" w:rsidP="004277EB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4277EB" w:rsidRDefault="004277EB" w:rsidP="004277EB">
      <w:pPr>
        <w:pStyle w:val="ReportMain"/>
        <w:suppressAutoHyphens/>
        <w:ind w:firstLine="709"/>
        <w:jc w:val="both"/>
      </w:pPr>
    </w:p>
    <w:p w:rsidR="004277EB" w:rsidRDefault="004277EB" w:rsidP="004277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.Д.Б.1 Философия, Б1.Д.Б.2 История (история России, всеобщая история), Б1.Д.Б.9 Русский язык и культура речи, Б1.Д.Б.10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</w:t>
      </w:r>
    </w:p>
    <w:p w:rsidR="004277EB" w:rsidRDefault="004277EB" w:rsidP="004277EB">
      <w:pPr>
        <w:pStyle w:val="ReportMain"/>
        <w:suppressAutoHyphens/>
        <w:ind w:firstLine="709"/>
        <w:jc w:val="both"/>
      </w:pPr>
    </w:p>
    <w:p w:rsidR="004277EB" w:rsidRDefault="004277EB" w:rsidP="004277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.Д.Б.23 Деловое общение, Б1.Д.Б.24 Инклюзивная педагогика</w:t>
      </w:r>
    </w:p>
    <w:p w:rsidR="004277EB" w:rsidRDefault="004277EB" w:rsidP="004277EB">
      <w:pPr>
        <w:pStyle w:val="ReportMain"/>
        <w:suppressAutoHyphens/>
        <w:ind w:firstLine="709"/>
        <w:jc w:val="both"/>
      </w:pPr>
    </w:p>
    <w:p w:rsidR="004277EB" w:rsidRDefault="004277EB" w:rsidP="004277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277EB" w:rsidRDefault="004277EB" w:rsidP="004277E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277EB" w:rsidRDefault="004277EB" w:rsidP="004277EB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4277EB" w:rsidTr="00993B4A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4277EB" w:rsidTr="00993B4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методы, правила, алгоритмы  и приемы эффективного использования логического мышления   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осуществления критического анализа и основных видов работы с информацией; приемы совершенствования аргументации </w:t>
            </w:r>
            <w:proofErr w:type="gramStart"/>
            <w:r>
              <w:rPr>
                <w:rFonts w:eastAsia="Times New Roman"/>
              </w:rPr>
              <w:t>суждений</w:t>
            </w:r>
            <w:proofErr w:type="gramEnd"/>
            <w:r>
              <w:rPr>
                <w:rFonts w:eastAsia="Times New Roman"/>
              </w:rPr>
              <w:t xml:space="preserve"> в том числе с применением философского понятийного аппарата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вариативно использовать алгоритмы  и приемы эффективного использования логического мышления   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активными навыками </w:t>
            </w:r>
            <w:r>
              <w:rPr>
                <w:rFonts w:eastAsia="Times New Roman"/>
              </w:rPr>
              <w:lastRenderedPageBreak/>
              <w:t>совершенствования осуществления поиска эффективных решений,  применения критического анализа и синтеза информации, применения системного подхода для решения поставленных задач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4277EB" w:rsidTr="00993B4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УК-5-В-1</w:t>
            </w:r>
            <w:proofErr w:type="gramStart"/>
            <w:r>
              <w:rPr>
                <w:rFonts w:eastAsia="Times New Roman"/>
              </w:rPr>
              <w:t xml:space="preserve"> Н</w:t>
            </w:r>
            <w:proofErr w:type="gramEnd"/>
            <w:r>
              <w:rPr>
                <w:rFonts w:eastAsia="Times New Roman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УК-5-В-3 Конструктивно взаимодействует с людьми различных категорий с учетом их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нормы и содержание культурных особенностей и традиций, межкультурного разнообразия общества в социально-историческом, этическом и философском контекстах 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конструктивно взаимодействовать с людьми различных категорий с учетом их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особенностей в целях успешного выполнения профессиональных задач 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навыками решения профессиональных задач посредством осуществления социальной интеграции, взаимодействия с представителями различных социальных групп  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4277EB" w:rsidTr="00993B4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ОПК-8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ОПК-8-В-1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>емонстрирует специальные научные знания, необходимые для осуществления педагогической, в том числе организационно-управленческой деятельности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ОПК-8-В-3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ладеет методами анализа 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методическое обоснование педагогической деятельности, ее анализа, осуществления профессиональной рефлексии на основе специальных научных знаний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Уметь</w:t>
            </w:r>
            <w:r>
              <w:rPr>
                <w:rFonts w:eastAsia="Times New Roman"/>
              </w:rPr>
              <w:t>: использовать специальные научные знания, необходимые для осуществления педагогической, в том числе организационно-управленческой деятельности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 навыками использования методов анализа педагогической ситуации, профессиональной рефлексии на основе специальных научных знаний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4277EB" w:rsidRDefault="004277EB" w:rsidP="004277E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4277EB" w:rsidRDefault="004277EB" w:rsidP="004277E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4277EB" w:rsidRDefault="004277EB" w:rsidP="004277EB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</w:t>
      </w:r>
      <w:proofErr w:type="gramStart"/>
      <w:r>
        <w:t>академических</w:t>
      </w:r>
      <w:proofErr w:type="gramEnd"/>
      <w:r>
        <w:t xml:space="preserve"> часа).</w:t>
      </w:r>
    </w:p>
    <w:p w:rsidR="004277EB" w:rsidRDefault="004277EB" w:rsidP="004277EB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4277EB" w:rsidTr="00FC37BA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4277EB" w:rsidTr="00FC37BA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35,25</w:t>
            </w: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108,75</w:t>
            </w:r>
          </w:p>
        </w:tc>
      </w:tr>
      <w:tr w:rsidR="004277EB" w:rsidTr="00FC37BA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4277EB" w:rsidRDefault="004277E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4277EB" w:rsidTr="00FC37B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4277EB" w:rsidRDefault="004277EB" w:rsidP="004277EB">
      <w:pPr>
        <w:pStyle w:val="ReportMain"/>
        <w:suppressAutoHyphens/>
        <w:ind w:firstLine="709"/>
        <w:jc w:val="both"/>
        <w:rPr>
          <w:szCs w:val="20"/>
        </w:rPr>
      </w:pPr>
    </w:p>
    <w:p w:rsidR="004277EB" w:rsidRDefault="004277EB" w:rsidP="004277EB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2 семестре</w:t>
      </w:r>
    </w:p>
    <w:p w:rsidR="004277EB" w:rsidRDefault="004277EB" w:rsidP="004277EB">
      <w:pPr>
        <w:pStyle w:val="ReportMain"/>
        <w:keepNext/>
        <w:suppressAutoHyphens/>
        <w:ind w:firstLine="709"/>
        <w:jc w:val="both"/>
      </w:pPr>
    </w:p>
    <w:p w:rsidR="004277EB" w:rsidRDefault="004277EB" w:rsidP="004277EB">
      <w:pPr>
        <w:pStyle w:val="ReportMain"/>
        <w:keepNext/>
        <w:suppressAutoHyphens/>
        <w:ind w:firstLine="709"/>
        <w:jc w:val="both"/>
      </w:pPr>
    </w:p>
    <w:p w:rsidR="004277EB" w:rsidRDefault="004277EB" w:rsidP="004277EB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4277EB" w:rsidTr="00993B4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4277EB" w:rsidTr="00993B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4277EB" w:rsidTr="00993B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EB" w:rsidRDefault="0042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4277EB" w:rsidTr="00993B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993B4A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4277EB" w:rsidTr="00993B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Общество: структурно-системный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4277EB" w:rsidTr="00993B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Образование как социальный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4277EB" w:rsidTr="00993B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4277EB" w:rsidTr="00993B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EB" w:rsidRDefault="004277E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</w:tbl>
    <w:p w:rsidR="004277EB" w:rsidRDefault="004277E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Pr="00FC37BA" w:rsidRDefault="00A628A9" w:rsidP="00262D6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 w:rsidRPr="00FC37BA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FC37BA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FC37BA">
        <w:rPr>
          <w:rFonts w:ascii="Times New Roman" w:hAnsi="Times New Roman" w:cs="Times New Roman"/>
          <w:sz w:val="28"/>
          <w:szCs w:val="28"/>
        </w:rPr>
        <w:t>в</w:t>
      </w:r>
      <w:r w:rsidRPr="00FC37BA">
        <w:rPr>
          <w:rFonts w:ascii="Times New Roman" w:hAnsi="Times New Roman" w:cs="Times New Roman"/>
          <w:sz w:val="28"/>
          <w:szCs w:val="28"/>
        </w:rPr>
        <w:t>ленн</w:t>
      </w:r>
      <w:r w:rsidR="00B7266B" w:rsidRPr="00FC37BA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FC37BA">
        <w:rPr>
          <w:rFonts w:ascii="Times New Roman" w:hAnsi="Times New Roman" w:cs="Times New Roman"/>
          <w:sz w:val="28"/>
          <w:szCs w:val="28"/>
        </w:rPr>
        <w:t xml:space="preserve"> компетенции студе</w:t>
      </w:r>
      <w:r w:rsidRPr="00FC37BA">
        <w:rPr>
          <w:rFonts w:ascii="Times New Roman" w:hAnsi="Times New Roman" w:cs="Times New Roman"/>
          <w:sz w:val="28"/>
          <w:szCs w:val="28"/>
        </w:rPr>
        <w:t>н</w:t>
      </w:r>
      <w:r w:rsidR="002C731F" w:rsidRPr="00FC37BA">
        <w:rPr>
          <w:rFonts w:ascii="Times New Roman" w:hAnsi="Times New Roman" w:cs="Times New Roman"/>
          <w:sz w:val="28"/>
          <w:szCs w:val="28"/>
        </w:rPr>
        <w:t>тов</w:t>
      </w:r>
      <w:r w:rsidR="00740F3A" w:rsidRPr="00FC37BA">
        <w:rPr>
          <w:rFonts w:ascii="Times New Roman" w:hAnsi="Times New Roman" w:cs="Times New Roman"/>
          <w:sz w:val="28"/>
          <w:szCs w:val="28"/>
        </w:rPr>
        <w:t>:</w:t>
      </w:r>
      <w:r w:rsidR="002C731F" w:rsidRPr="00FC37BA">
        <w:rPr>
          <w:rFonts w:ascii="Times New Roman" w:hAnsi="Times New Roman" w:cs="Times New Roman"/>
          <w:sz w:val="28"/>
          <w:szCs w:val="28"/>
        </w:rPr>
        <w:t xml:space="preserve"> </w:t>
      </w:r>
      <w:r w:rsidR="00010490" w:rsidRPr="00FC37BA">
        <w:rPr>
          <w:rFonts w:ascii="Times New Roman" w:hAnsi="Times New Roman" w:cs="Times New Roman"/>
          <w:sz w:val="28"/>
          <w:szCs w:val="28"/>
        </w:rPr>
        <w:t xml:space="preserve"> 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 w:rsidRPr="00FC37BA">
        <w:rPr>
          <w:rFonts w:ascii="Times New Roman" w:hAnsi="Times New Roman" w:cs="Times New Roman"/>
          <w:sz w:val="28"/>
          <w:szCs w:val="28"/>
        </w:rPr>
        <w:t>ч</w:t>
      </w:r>
      <w:r w:rsidR="00DA3CD1" w:rsidRPr="00FC37BA">
        <w:rPr>
          <w:rFonts w:ascii="Times New Roman" w:hAnsi="Times New Roman" w:cs="Times New Roman"/>
          <w:sz w:val="28"/>
          <w:szCs w:val="28"/>
        </w:rPr>
        <w:t>е</w:t>
      </w:r>
      <w:r w:rsidR="00DA3CD1" w:rsidRPr="00FC37BA">
        <w:rPr>
          <w:rFonts w:ascii="Times New Roman" w:hAnsi="Times New Roman" w:cs="Times New Roman"/>
          <w:sz w:val="28"/>
          <w:szCs w:val="28"/>
        </w:rPr>
        <w:t xml:space="preserve">ских проблем деловых отношений </w:t>
      </w:r>
      <w:r w:rsidRPr="00FC37BA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FC37BA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FC37BA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r w:rsidR="00010490" w:rsidRPr="00FC37BA">
        <w:rPr>
          <w:rFonts w:ascii="Times New Roman" w:hAnsi="Times New Roman" w:cs="Times New Roman"/>
          <w:sz w:val="28"/>
          <w:szCs w:val="28"/>
        </w:rPr>
        <w:t xml:space="preserve">, </w:t>
      </w:r>
      <w:r w:rsidR="00942A48" w:rsidRPr="00FC37B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C37BA">
        <w:rPr>
          <w:rFonts w:ascii="Times New Roman" w:hAnsi="Times New Roman" w:cs="Times New Roman"/>
          <w:sz w:val="28"/>
          <w:szCs w:val="28"/>
        </w:rPr>
        <w:t>м</w:t>
      </w:r>
      <w:r w:rsidRPr="00FC37BA">
        <w:rPr>
          <w:rFonts w:ascii="Times New Roman" w:hAnsi="Times New Roman" w:cs="Times New Roman"/>
          <w:sz w:val="28"/>
          <w:szCs w:val="28"/>
        </w:rPr>
        <w:t>о</w:t>
      </w:r>
      <w:r w:rsidRPr="00FC37BA">
        <w:rPr>
          <w:rFonts w:ascii="Times New Roman" w:hAnsi="Times New Roman" w:cs="Times New Roman"/>
          <w:sz w:val="28"/>
          <w:szCs w:val="28"/>
        </w:rPr>
        <w:t>нологиче</w:t>
      </w:r>
      <w:r w:rsidR="00942A48" w:rsidRPr="00FC37BA">
        <w:rPr>
          <w:rFonts w:ascii="Times New Roman" w:hAnsi="Times New Roman" w:cs="Times New Roman"/>
          <w:sz w:val="28"/>
          <w:szCs w:val="28"/>
        </w:rPr>
        <w:t>ской</w:t>
      </w:r>
      <w:r w:rsidR="00010490" w:rsidRPr="00FC37BA">
        <w:rPr>
          <w:rFonts w:ascii="Times New Roman" w:hAnsi="Times New Roman" w:cs="Times New Roman"/>
          <w:sz w:val="28"/>
          <w:szCs w:val="28"/>
        </w:rPr>
        <w:t xml:space="preserve"> и диалогической деловой </w:t>
      </w:r>
      <w:r w:rsidRPr="00FC37BA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FC37BA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5655FF" w:rsidRPr="00FC37BA">
        <w:rPr>
          <w:rFonts w:ascii="Times New Roman" w:hAnsi="Times New Roman" w:cs="Times New Roman"/>
          <w:sz w:val="28"/>
          <w:szCs w:val="28"/>
        </w:rPr>
        <w:t xml:space="preserve"> </w:t>
      </w:r>
      <w:r w:rsidRPr="00FC37BA">
        <w:rPr>
          <w:rFonts w:ascii="Times New Roman" w:hAnsi="Times New Roman" w:cs="Times New Roman"/>
          <w:sz w:val="28"/>
          <w:szCs w:val="28"/>
        </w:rPr>
        <w:t>озвучиваю</w:t>
      </w:r>
      <w:r w:rsidRPr="00FC37BA">
        <w:rPr>
          <w:rFonts w:ascii="Times New Roman" w:hAnsi="Times New Roman" w:cs="Times New Roman"/>
          <w:sz w:val="28"/>
          <w:szCs w:val="28"/>
        </w:rPr>
        <w:t>т</w:t>
      </w:r>
      <w:r w:rsidRPr="00FC37BA">
        <w:rPr>
          <w:rFonts w:ascii="Times New Roman" w:hAnsi="Times New Roman" w:cs="Times New Roman"/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 w:rsidRPr="00FC37BA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</w:t>
      </w:r>
      <w:r w:rsidR="00BD3C36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</w:t>
      </w:r>
      <w:r w:rsidR="0000567E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95993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FC37B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FC37B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="00BD3C36" w:rsidRPr="00FC37B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 w:rsidRPr="00FC37B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FC37B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FC37BA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FC37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какие-нибудь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 xml:space="preserve">ются в обобщении и систематизации знаний в рамках рубежного контроля. Тем самым </w:t>
      </w:r>
      <w:r>
        <w:lastRenderedPageBreak/>
        <w:t>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EB" w:rsidRDefault="004277EB" w:rsidP="00817BE6">
      <w:pPr>
        <w:spacing w:after="0" w:line="240" w:lineRule="auto"/>
      </w:pPr>
      <w:r>
        <w:separator/>
      </w:r>
    </w:p>
  </w:endnote>
  <w:endnote w:type="continuationSeparator" w:id="0">
    <w:p w:rsidR="004277EB" w:rsidRDefault="004277E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277EB" w:rsidRDefault="00BC1EEE">
        <w:pPr>
          <w:pStyle w:val="a7"/>
          <w:jc w:val="center"/>
        </w:pPr>
        <w:fldSimple w:instr="PAGE   \* MERGEFORMAT">
          <w:r w:rsidR="00FE27DA">
            <w:rPr>
              <w:noProof/>
            </w:rPr>
            <w:t>1</w:t>
          </w:r>
        </w:fldSimple>
      </w:p>
    </w:sdtContent>
  </w:sdt>
  <w:p w:rsidR="004277EB" w:rsidRDefault="00427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EB" w:rsidRDefault="004277EB" w:rsidP="00817BE6">
      <w:pPr>
        <w:spacing w:after="0" w:line="240" w:lineRule="auto"/>
      </w:pPr>
      <w:r>
        <w:separator/>
      </w:r>
    </w:p>
  </w:footnote>
  <w:footnote w:type="continuationSeparator" w:id="0">
    <w:p w:rsidR="004277EB" w:rsidRDefault="004277E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55F0A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277EB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04850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E77EA"/>
    <w:rsid w:val="005F64BE"/>
    <w:rsid w:val="00602D51"/>
    <w:rsid w:val="0063388C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3B4A"/>
    <w:rsid w:val="0099639D"/>
    <w:rsid w:val="009A2754"/>
    <w:rsid w:val="009B4A8C"/>
    <w:rsid w:val="009C113A"/>
    <w:rsid w:val="009C3876"/>
    <w:rsid w:val="009C411F"/>
    <w:rsid w:val="009D5C85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1EEE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41235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37BA"/>
    <w:rsid w:val="00FC5FB3"/>
    <w:rsid w:val="00FE27DA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BDFA-C7CB-4D67-B8BA-F80170C3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28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88</cp:revision>
  <dcterms:created xsi:type="dcterms:W3CDTF">2016-10-09T16:26:00Z</dcterms:created>
  <dcterms:modified xsi:type="dcterms:W3CDTF">2022-01-04T08:21:00Z</dcterms:modified>
</cp:coreProperties>
</file>