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Министерство </w:t>
      </w:r>
      <w:r w:rsidR="001229C6">
        <w:rPr>
          <w:rFonts w:ascii="Times New Roman" w:eastAsia="Calibri" w:hAnsi="Times New Roman" w:cs="Times New Roman"/>
          <w:sz w:val="28"/>
        </w:rPr>
        <w:t>науки и высшего образования</w:t>
      </w:r>
      <w:r w:rsidRPr="00A8107D">
        <w:rPr>
          <w:rFonts w:ascii="Times New Roman" w:eastAsia="Calibri" w:hAnsi="Times New Roman" w:cs="Times New Roman"/>
          <w:sz w:val="28"/>
        </w:rPr>
        <w:t xml:space="preserve">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Бузулукский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A47E5E"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О.С. Манакова</w:t>
      </w:r>
    </w:p>
    <w:p w:rsidR="00FC5FB3" w:rsidRPr="00FC5FB3" w:rsidRDefault="00FC5FB3" w:rsidP="00047218">
      <w:pPr>
        <w:pStyle w:val="Default"/>
        <w:spacing w:line="276" w:lineRule="auto"/>
        <w:jc w:val="center"/>
      </w:pPr>
    </w:p>
    <w:p w:rsidR="00FC5FB3" w:rsidRPr="00A8107D" w:rsidRDefault="00B47F84" w:rsidP="00B503AA">
      <w:pPr>
        <w:pStyle w:val="Default"/>
        <w:spacing w:line="276" w:lineRule="auto"/>
        <w:jc w:val="center"/>
        <w:rPr>
          <w:b/>
          <w:bCs/>
          <w:sz w:val="48"/>
          <w:szCs w:val="48"/>
        </w:rPr>
      </w:pPr>
      <w:r>
        <w:rPr>
          <w:b/>
          <w:bCs/>
          <w:sz w:val="48"/>
          <w:szCs w:val="48"/>
        </w:rPr>
        <w:t>ОБЩАЯ ЭНЕРГЕТИКА</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A8107D" w:rsidRDefault="00A8107D" w:rsidP="00A8107D">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sidR="008358C0">
        <w:rPr>
          <w:rFonts w:ascii="Times New Roman" w:eastAsia="Calibri" w:hAnsi="Times New Roman" w:cs="Times New Roman"/>
          <w:sz w:val="36"/>
          <w:szCs w:val="36"/>
        </w:rPr>
        <w:t xml:space="preserve"> </w:t>
      </w:r>
      <w:r w:rsidR="008358C0" w:rsidRPr="008358C0">
        <w:rPr>
          <w:rFonts w:ascii="Times New Roman" w:hAnsi="Times New Roman" w:cs="Times New Roman"/>
          <w:sz w:val="36"/>
          <w:szCs w:val="36"/>
        </w:rPr>
        <w:t>для обучающихся по освоению дисц</w:t>
      </w:r>
      <w:r w:rsidR="008358C0">
        <w:rPr>
          <w:rFonts w:ascii="Times New Roman" w:hAnsi="Times New Roman" w:cs="Times New Roman"/>
          <w:sz w:val="36"/>
          <w:szCs w:val="36"/>
        </w:rPr>
        <w:t>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Бузулукского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подготовки</w:t>
      </w:r>
      <w:r>
        <w:rPr>
          <w:szCs w:val="28"/>
        </w:rPr>
        <w:t xml:space="preserve"> </w:t>
      </w:r>
      <w:r w:rsidRPr="00A8107D">
        <w:rPr>
          <w:szCs w:val="28"/>
        </w:rPr>
        <w:t xml:space="preserve"> </w:t>
      </w:r>
      <w:hyperlink r:id="rId8" w:history="1">
        <w:r w:rsidRPr="00A8107D">
          <w:rPr>
            <w:szCs w:val="28"/>
          </w:rPr>
          <w:t>44.03.04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1B556B" w:rsidRDefault="001B556B" w:rsidP="00047218">
      <w:pPr>
        <w:jc w:val="center"/>
        <w:rPr>
          <w:rFonts w:ascii="Times New Roman" w:hAnsi="Times New Roman" w:cs="Times New Roman"/>
          <w:sz w:val="28"/>
          <w:szCs w:val="28"/>
        </w:rPr>
      </w:pPr>
    </w:p>
    <w:p w:rsidR="000E1E93" w:rsidRDefault="000E1E93"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AF67CE">
        <w:rPr>
          <w:rFonts w:ascii="Times New Roman" w:eastAsia="Times New Roman" w:hAnsi="Times New Roman" w:cs="Times New Roman"/>
          <w:color w:val="000000"/>
          <w:sz w:val="28"/>
          <w:szCs w:val="28"/>
          <w:lang w:eastAsia="ru-RU"/>
        </w:rPr>
        <w:t>7</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A8107D">
      <w:pPr>
        <w:shd w:val="clear" w:color="auto" w:fill="FFFFFF"/>
        <w:spacing w:after="0" w:line="240" w:lineRule="auto"/>
        <w:ind w:firstLine="709"/>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A47E5E">
        <w:rPr>
          <w:rFonts w:ascii="Times New Roman" w:eastAsia="Calibri" w:hAnsi="Times New Roman" w:cs="Times New Roman"/>
          <w:sz w:val="28"/>
          <w:szCs w:val="28"/>
        </w:rPr>
        <w:t>технических наук Спирин А.В.</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47E5E"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Манакова О.С.</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771"/>
        <w:gridCol w:w="8044"/>
      </w:tblGrid>
      <w:tr w:rsidR="001B556B"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B47F84" w:rsidP="00AF67CE">
            <w:pPr>
              <w:shd w:val="clear" w:color="auto" w:fill="FFFFFF"/>
              <w:tabs>
                <w:tab w:val="left" w:pos="1418"/>
              </w:tabs>
              <w:ind w:left="119"/>
              <w:jc w:val="both"/>
              <w:rPr>
                <w:sz w:val="28"/>
                <w:szCs w:val="28"/>
              </w:rPr>
            </w:pPr>
            <w:r w:rsidRPr="003E11AF">
              <w:rPr>
                <w:color w:val="000000"/>
                <w:sz w:val="28"/>
                <w:szCs w:val="28"/>
              </w:rPr>
              <w:t>Общая энергетика</w:t>
            </w:r>
            <w:r w:rsidR="00A8107D" w:rsidRPr="00A8107D">
              <w:rPr>
                <w:sz w:val="28"/>
                <w:szCs w:val="28"/>
              </w:rPr>
              <w:t xml:space="preserve">: методические указания </w:t>
            </w:r>
            <w:r w:rsidR="001B556B">
              <w:rPr>
                <w:sz w:val="28"/>
                <w:szCs w:val="28"/>
              </w:rPr>
              <w:t>по освоению дисциплины</w:t>
            </w:r>
            <w:r w:rsidR="00A8107D" w:rsidRPr="00A8107D">
              <w:rPr>
                <w:sz w:val="28"/>
                <w:szCs w:val="28"/>
              </w:rPr>
              <w:t xml:space="preserve">/ составитель </w:t>
            </w:r>
            <w:r w:rsidR="009E197C">
              <w:rPr>
                <w:sz w:val="28"/>
                <w:szCs w:val="28"/>
              </w:rPr>
              <w:t>О.С. Манакова</w:t>
            </w:r>
            <w:r w:rsidR="006036A8">
              <w:rPr>
                <w:sz w:val="28"/>
                <w:szCs w:val="28"/>
              </w:rPr>
              <w:t>;</w:t>
            </w:r>
            <w:r w:rsidR="00A8107D" w:rsidRPr="00A8107D">
              <w:rPr>
                <w:bCs/>
                <w:sz w:val="28"/>
                <w:szCs w:val="28"/>
              </w:rPr>
              <w:t xml:space="preserve"> Бузулукский гуманитарно</w:t>
            </w:r>
            <w:r w:rsidR="003E11AF">
              <w:rPr>
                <w:bCs/>
                <w:sz w:val="28"/>
                <w:szCs w:val="28"/>
              </w:rPr>
              <w:t xml:space="preserve"> </w:t>
            </w:r>
            <w:r w:rsidR="00A8107D" w:rsidRPr="00A8107D">
              <w:rPr>
                <w:bCs/>
                <w:sz w:val="28"/>
                <w:szCs w:val="28"/>
              </w:rPr>
              <w:t>- технологический институт (филиал) Орен</w:t>
            </w:r>
            <w:r w:rsidR="003E11AF">
              <w:rPr>
                <w:bCs/>
                <w:sz w:val="28"/>
                <w:szCs w:val="28"/>
              </w:rPr>
              <w:t>бургского гос. ун-та. – Бузулук</w:t>
            </w:r>
            <w:r w:rsidR="00A8107D" w:rsidRPr="00A8107D">
              <w:rPr>
                <w:bCs/>
                <w:sz w:val="28"/>
                <w:szCs w:val="28"/>
              </w:rPr>
              <w:t>: БГТИ, 201</w:t>
            </w:r>
            <w:r w:rsidR="00AF67CE">
              <w:rPr>
                <w:bCs/>
                <w:sz w:val="28"/>
                <w:szCs w:val="28"/>
              </w:rPr>
              <w:t>7</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3E11AF">
        <w:rPr>
          <w:rFonts w:ascii="Times New Roman" w:eastAsia="Times New Roman" w:hAnsi="Times New Roman" w:cs="Times New Roman"/>
          <w:sz w:val="28"/>
          <w:szCs w:val="28"/>
          <w:lang w:eastAsia="ru-RU"/>
        </w:rPr>
        <w:t>«</w:t>
      </w:r>
      <w:r w:rsidR="00B47F84" w:rsidRPr="003E11AF">
        <w:rPr>
          <w:rFonts w:ascii="Times New Roman" w:eastAsia="Times New Roman" w:hAnsi="Times New Roman" w:cs="Times New Roman"/>
          <w:sz w:val="28"/>
          <w:szCs w:val="28"/>
          <w:lang w:eastAsia="ru-RU"/>
        </w:rPr>
        <w:t>Общая энергетика</w:t>
      </w:r>
      <w:r w:rsidRPr="003E11AF">
        <w:rPr>
          <w:rFonts w:ascii="Times New Roman" w:eastAsia="Times New Roman" w:hAnsi="Times New Roman" w:cs="Times New Roman"/>
          <w:color w:val="000000"/>
          <w:sz w:val="28"/>
          <w:szCs w:val="28"/>
          <w:lang w:eastAsia="ru-RU"/>
        </w:rPr>
        <w:t>»</w:t>
      </w:r>
      <w:r w:rsidR="008D7778" w:rsidRPr="003E11AF">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Методические указания  предназначены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00A47E5E">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A47E5E">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A47E5E">
        <w:rPr>
          <w:rFonts w:ascii="Times New Roman" w:eastAsia="Times New Roman" w:hAnsi="Times New Roman" w:cs="Times New Roman"/>
          <w:sz w:val="28"/>
          <w:szCs w:val="28"/>
          <w:lang w:eastAsia="ru-RU"/>
        </w:rPr>
        <w:t>Манакова О.С.</w:t>
      </w:r>
      <w:r w:rsidR="00B503AA">
        <w:rPr>
          <w:rFonts w:ascii="Times New Roman" w:eastAsia="Times New Roman" w:hAnsi="Times New Roman" w:cs="Times New Roman"/>
          <w:sz w:val="28"/>
          <w:szCs w:val="28"/>
          <w:lang w:eastAsia="ru-RU"/>
        </w:rPr>
        <w:t>.</w:t>
      </w:r>
      <w:r w:rsidR="00A91AD6" w:rsidRPr="00A91AD6">
        <w:rPr>
          <w:rFonts w:ascii="Times New Roman" w:eastAsia="Times New Roman" w:hAnsi="Times New Roman" w:cs="Times New Roman"/>
          <w:sz w:val="28"/>
          <w:szCs w:val="28"/>
          <w:lang w:eastAsia="ru-RU"/>
        </w:rPr>
        <w:t>, 201</w:t>
      </w:r>
      <w:r w:rsidR="00AF67CE">
        <w:rPr>
          <w:rFonts w:ascii="Times New Roman" w:eastAsia="Times New Roman" w:hAnsi="Times New Roman" w:cs="Times New Roman"/>
          <w:sz w:val="28"/>
          <w:szCs w:val="28"/>
          <w:lang w:eastAsia="ru-RU"/>
        </w:rPr>
        <w:t>7</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AF67CE">
        <w:rPr>
          <w:rFonts w:ascii="Times New Roman" w:eastAsia="Times New Roman" w:hAnsi="Times New Roman" w:cs="Times New Roman"/>
          <w:sz w:val="28"/>
          <w:szCs w:val="28"/>
          <w:lang w:eastAsia="ru-RU"/>
        </w:rPr>
        <w:t>7</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B47F84" w:rsidRDefault="00B47F84" w:rsidP="001B556B">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8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4B0AE6">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384"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
        </w:tc>
        <w:tc>
          <w:tcPr>
            <w:tcW w:w="823"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4B0AE6">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384"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823"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4B0AE6">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384"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
        </w:tc>
        <w:tc>
          <w:tcPr>
            <w:tcW w:w="823"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4B0AE6">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384"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
        </w:tc>
        <w:tc>
          <w:tcPr>
            <w:tcW w:w="823"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4B0AE6">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384"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823"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4B0AE6">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384"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4B0AE6">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384"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4B0AE6">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384"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r>
              <w:rPr>
                <w:rFonts w:ascii="Times New Roman" w:hAnsi="Times New Roman" w:cs="Times New Roman"/>
                <w:sz w:val="28"/>
                <w:szCs w:val="28"/>
              </w:rPr>
              <w:t>…..</w:t>
            </w:r>
          </w:p>
        </w:tc>
        <w:tc>
          <w:tcPr>
            <w:tcW w:w="823"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4B0AE6">
        <w:tc>
          <w:tcPr>
            <w:tcW w:w="566" w:type="dxa"/>
          </w:tcPr>
          <w:p w:rsidR="00B546F4" w:rsidRDefault="00B546F4" w:rsidP="004B0AE6">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4B0AE6">
              <w:rPr>
                <w:rFonts w:ascii="Times New Roman" w:eastAsia="Times New Roman" w:hAnsi="Times New Roman" w:cs="Times New Roman"/>
                <w:color w:val="000000"/>
                <w:sz w:val="28"/>
                <w:szCs w:val="28"/>
                <w:lang w:eastAsia="ru-RU"/>
              </w:rPr>
              <w:t>4</w:t>
            </w:r>
          </w:p>
        </w:tc>
        <w:tc>
          <w:tcPr>
            <w:tcW w:w="7384"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823"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4B0AE6">
        <w:tc>
          <w:tcPr>
            <w:tcW w:w="566" w:type="dxa"/>
          </w:tcPr>
          <w:p w:rsidR="00B546F4" w:rsidRDefault="00B546F4" w:rsidP="004B0AE6">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4B0AE6">
              <w:rPr>
                <w:rFonts w:ascii="Times New Roman" w:eastAsia="Times New Roman" w:hAnsi="Times New Roman" w:cs="Times New Roman"/>
                <w:color w:val="000000"/>
                <w:sz w:val="28"/>
                <w:szCs w:val="28"/>
                <w:lang w:eastAsia="ru-RU"/>
              </w:rPr>
              <w:t>5</w:t>
            </w:r>
          </w:p>
        </w:tc>
        <w:tc>
          <w:tcPr>
            <w:tcW w:w="7384"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
        </w:tc>
        <w:tc>
          <w:tcPr>
            <w:tcW w:w="823"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4B0AE6">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384"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823"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B47F84" w:rsidRPr="003E11AF">
        <w:rPr>
          <w:rFonts w:ascii="Times New Roman" w:eastAsia="Times New Roman" w:hAnsi="Times New Roman" w:cs="Times New Roman"/>
          <w:sz w:val="28"/>
          <w:szCs w:val="28"/>
        </w:rPr>
        <w:t>Общая энергетика</w:t>
      </w:r>
      <w:r w:rsidRPr="00B503AA">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B503AA">
        <w:rPr>
          <w:sz w:val="28"/>
          <w:szCs w:val="28"/>
        </w:rPr>
        <w:t>«</w:t>
      </w:r>
      <w:r w:rsidR="00B47F84" w:rsidRPr="003E11AF">
        <w:rPr>
          <w:sz w:val="28"/>
          <w:szCs w:val="28"/>
        </w:rPr>
        <w:t>Общая энергетика</w:t>
      </w:r>
      <w:r w:rsidRPr="00B503AA">
        <w:rPr>
          <w:sz w:val="28"/>
          <w:szCs w:val="28"/>
        </w:rPr>
        <w:t xml:space="preserve">» </w:t>
      </w:r>
      <w:r w:rsidRPr="00B503AA">
        <w:rPr>
          <w:rFonts w:eastAsia="Times New Roman"/>
          <w:sz w:val="28"/>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 w:val="28"/>
          <w:szCs w:val="28"/>
        </w:rPr>
        <w:t>подготовки 44.03.04 Професси</w:t>
      </w:r>
      <w:r w:rsidR="003E11AF">
        <w:rPr>
          <w:sz w:val="28"/>
          <w:szCs w:val="28"/>
        </w:rPr>
        <w:t>ональное обучение (по отраслям)</w:t>
      </w:r>
      <w:r w:rsidRPr="00B503AA">
        <w:rPr>
          <w:sz w:val="28"/>
          <w:szCs w:val="28"/>
        </w:rPr>
        <w:t>, профиль: Энергетика</w:t>
      </w:r>
    </w:p>
    <w:p w:rsidR="00B503AA" w:rsidRDefault="00B503AA" w:rsidP="00B503AA">
      <w:pPr>
        <w:pStyle w:val="3"/>
        <w:spacing w:after="0" w:line="240" w:lineRule="auto"/>
        <w:ind w:firstLine="709"/>
        <w:jc w:val="both"/>
        <w:rPr>
          <w:rFonts w:ascii="Times New Roman" w:hAnsi="Times New Roman" w:cs="Times New Roman"/>
          <w:sz w:val="28"/>
          <w:szCs w:val="28"/>
        </w:rPr>
      </w:pPr>
      <w:r w:rsidRPr="00B503AA">
        <w:rPr>
          <w:rFonts w:ascii="Times New Roman" w:hAnsi="Times New Roman" w:cs="Times New Roman"/>
          <w:sz w:val="28"/>
          <w:szCs w:val="28"/>
        </w:rPr>
        <w:t>Основная цель для студента: формирование фундамен</w:t>
      </w:r>
      <w:r w:rsidRPr="00B503AA">
        <w:rPr>
          <w:rFonts w:ascii="Times New Roman" w:hAnsi="Times New Roman" w:cs="Times New Roman"/>
          <w:sz w:val="28"/>
          <w:szCs w:val="28"/>
        </w:rPr>
        <w:softHyphen/>
        <w:t xml:space="preserve">тальных знаний по основным направлениям и особенностям </w:t>
      </w:r>
      <w:r>
        <w:rPr>
          <w:rFonts w:ascii="Times New Roman" w:hAnsi="Times New Roman" w:cs="Times New Roman"/>
          <w:sz w:val="28"/>
          <w:szCs w:val="28"/>
        </w:rPr>
        <w:t>энергосбережения и учет энергопотребления</w:t>
      </w:r>
    </w:p>
    <w:p w:rsidR="00B503AA" w:rsidRPr="00B503AA" w:rsidRDefault="00B503AA" w:rsidP="00B503AA">
      <w:pPr>
        <w:pStyle w:val="3"/>
        <w:spacing w:after="0" w:line="240" w:lineRule="auto"/>
        <w:ind w:firstLine="709"/>
        <w:jc w:val="both"/>
        <w:rPr>
          <w:rFonts w:ascii="Times New Roman" w:hAnsi="Times New Roman" w:cs="Times New Roman"/>
          <w:b/>
          <w:i/>
          <w:sz w:val="28"/>
          <w:szCs w:val="28"/>
        </w:rPr>
      </w:pPr>
      <w:r w:rsidRPr="00B503AA">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A47E5E" w:rsidRPr="00A47E5E" w:rsidRDefault="00A47E5E" w:rsidP="00A47E5E">
      <w:pPr>
        <w:pStyle w:val="ReportMain"/>
        <w:suppressAutoHyphens/>
        <w:ind w:firstLine="709"/>
        <w:jc w:val="both"/>
        <w:rPr>
          <w:sz w:val="28"/>
          <w:szCs w:val="28"/>
        </w:rPr>
      </w:pPr>
      <w:r w:rsidRPr="00A47E5E">
        <w:rPr>
          <w:sz w:val="28"/>
          <w:szCs w:val="28"/>
        </w:rPr>
        <w:t xml:space="preserve">- формирование знаний основных типов энергетических установок и способов получения тепловой и электрической энергии </w:t>
      </w:r>
    </w:p>
    <w:p w:rsidR="00A47E5E" w:rsidRPr="00A47E5E" w:rsidRDefault="00A47E5E" w:rsidP="00A47E5E">
      <w:pPr>
        <w:pStyle w:val="ReportMain"/>
        <w:suppressAutoHyphens/>
        <w:ind w:firstLine="709"/>
        <w:jc w:val="both"/>
        <w:rPr>
          <w:color w:val="000000"/>
          <w:sz w:val="28"/>
          <w:szCs w:val="28"/>
        </w:rPr>
      </w:pPr>
      <w:r w:rsidRPr="00A47E5E">
        <w:rPr>
          <w:sz w:val="28"/>
          <w:szCs w:val="28"/>
        </w:rPr>
        <w:t xml:space="preserve">- </w:t>
      </w:r>
      <w:r w:rsidRPr="00A47E5E">
        <w:rPr>
          <w:color w:val="000000"/>
          <w:sz w:val="28"/>
          <w:szCs w:val="28"/>
        </w:rPr>
        <w:t>изучение способов расчета схем и элементов основного оборудования тепловых электрических станций;</w:t>
      </w:r>
    </w:p>
    <w:p w:rsidR="00A47E5E" w:rsidRPr="00A47E5E" w:rsidRDefault="00A47E5E" w:rsidP="00A47E5E">
      <w:pPr>
        <w:pStyle w:val="ReportMain"/>
        <w:suppressAutoHyphens/>
        <w:ind w:firstLine="709"/>
        <w:jc w:val="both"/>
        <w:rPr>
          <w:sz w:val="28"/>
          <w:szCs w:val="28"/>
        </w:rPr>
      </w:pPr>
      <w:r w:rsidRPr="00A47E5E">
        <w:rPr>
          <w:sz w:val="28"/>
          <w:szCs w:val="28"/>
        </w:rPr>
        <w:t>- развивать умения оценивать энергетическую ситуацию, выбирать оптимальные технические и экономические пути энергоснабжения объектов;</w:t>
      </w:r>
    </w:p>
    <w:p w:rsidR="00A47E5E" w:rsidRPr="00A47E5E" w:rsidRDefault="00A47E5E" w:rsidP="00A47E5E">
      <w:pPr>
        <w:pStyle w:val="ReportMain"/>
        <w:suppressAutoHyphens/>
        <w:ind w:firstLine="709"/>
        <w:jc w:val="both"/>
        <w:rPr>
          <w:sz w:val="28"/>
          <w:szCs w:val="28"/>
        </w:rPr>
      </w:pPr>
      <w:r w:rsidRPr="00A47E5E">
        <w:rPr>
          <w:sz w:val="28"/>
          <w:szCs w:val="28"/>
        </w:rPr>
        <w:t>- развивать умения и навыки работы с нормативной документацией, чтения технологических схем при организации и контроле технологического процесса</w:t>
      </w:r>
    </w:p>
    <w:p w:rsidR="00A47E5E" w:rsidRPr="00A47E5E" w:rsidRDefault="00A47E5E" w:rsidP="00A47E5E">
      <w:pPr>
        <w:pStyle w:val="ReportMain"/>
        <w:suppressAutoHyphens/>
        <w:ind w:firstLine="708"/>
        <w:jc w:val="both"/>
        <w:rPr>
          <w:sz w:val="28"/>
          <w:szCs w:val="28"/>
        </w:rPr>
      </w:pPr>
      <w:r w:rsidRPr="00A47E5E">
        <w:rPr>
          <w:sz w:val="28"/>
          <w:szCs w:val="28"/>
        </w:rPr>
        <w:t>- формировать навыки организации и контроля технологического процесса при работе с оборудованием в учебных мастерских, организациях и предприятиях.</w:t>
      </w:r>
    </w:p>
    <w:p w:rsidR="000E1E93" w:rsidRPr="00B47F84" w:rsidRDefault="000E1E93" w:rsidP="00047218">
      <w:pPr>
        <w:pStyle w:val="Default"/>
        <w:spacing w:line="276" w:lineRule="auto"/>
        <w:ind w:firstLine="567"/>
        <w:jc w:val="both"/>
        <w:rPr>
          <w:bCs/>
          <w:sz w:val="28"/>
          <w:szCs w:val="28"/>
        </w:rPr>
      </w:pPr>
    </w:p>
    <w:p w:rsidR="000E1E93" w:rsidRDefault="000E1E93" w:rsidP="00047218">
      <w:pPr>
        <w:pStyle w:val="Default"/>
        <w:spacing w:line="276" w:lineRule="auto"/>
        <w:ind w:firstLine="567"/>
        <w:jc w:val="both"/>
        <w:rPr>
          <w:b/>
          <w:bCs/>
          <w:sz w:val="28"/>
          <w:szCs w:val="28"/>
        </w:rPr>
      </w:pPr>
    </w:p>
    <w:p w:rsidR="001B556B" w:rsidRDefault="001B556B" w:rsidP="00047218">
      <w:pPr>
        <w:pStyle w:val="Default"/>
        <w:spacing w:line="276" w:lineRule="auto"/>
        <w:ind w:firstLine="567"/>
        <w:jc w:val="both"/>
        <w:rPr>
          <w:b/>
          <w:bCs/>
          <w:sz w:val="28"/>
          <w:szCs w:val="28"/>
        </w:rPr>
      </w:pPr>
    </w:p>
    <w:p w:rsidR="001B556B" w:rsidRDefault="001B556B" w:rsidP="00047218">
      <w:pPr>
        <w:pStyle w:val="Default"/>
        <w:spacing w:line="276" w:lineRule="auto"/>
        <w:ind w:firstLine="567"/>
        <w:jc w:val="both"/>
        <w:rPr>
          <w:b/>
          <w:bCs/>
          <w:sz w:val="28"/>
          <w:szCs w:val="28"/>
        </w:rPr>
      </w:pPr>
    </w:p>
    <w:p w:rsidR="001B556B" w:rsidRDefault="001B556B" w:rsidP="00047218">
      <w:pPr>
        <w:pStyle w:val="Default"/>
        <w:spacing w:line="276" w:lineRule="auto"/>
        <w:ind w:firstLine="567"/>
        <w:jc w:val="both"/>
        <w:rPr>
          <w:b/>
          <w:bCs/>
          <w:sz w:val="28"/>
          <w:szCs w:val="28"/>
        </w:rPr>
      </w:pPr>
    </w:p>
    <w:p w:rsidR="001B556B" w:rsidRDefault="001B556B" w:rsidP="00047218">
      <w:pPr>
        <w:pStyle w:val="Default"/>
        <w:spacing w:line="276" w:lineRule="auto"/>
        <w:ind w:firstLine="567"/>
        <w:jc w:val="both"/>
        <w:rPr>
          <w:b/>
          <w:bCs/>
          <w:sz w:val="28"/>
          <w:szCs w:val="28"/>
        </w:rPr>
      </w:pPr>
    </w:p>
    <w:p w:rsidR="001B556B" w:rsidRDefault="001B556B" w:rsidP="00047218">
      <w:pPr>
        <w:pStyle w:val="Default"/>
        <w:spacing w:line="276" w:lineRule="auto"/>
        <w:ind w:firstLine="567"/>
        <w:jc w:val="both"/>
        <w:rPr>
          <w:b/>
          <w:bCs/>
          <w:sz w:val="28"/>
          <w:szCs w:val="28"/>
        </w:rPr>
      </w:pPr>
    </w:p>
    <w:p w:rsidR="00A47E5E" w:rsidRDefault="00A47E5E" w:rsidP="00047218">
      <w:pPr>
        <w:pStyle w:val="Default"/>
        <w:spacing w:line="276" w:lineRule="auto"/>
        <w:ind w:firstLine="567"/>
        <w:jc w:val="both"/>
        <w:rPr>
          <w:b/>
          <w:bCs/>
          <w:sz w:val="28"/>
          <w:szCs w:val="28"/>
        </w:rPr>
      </w:pPr>
    </w:p>
    <w:p w:rsidR="001B556B" w:rsidRDefault="001B556B" w:rsidP="00047218">
      <w:pPr>
        <w:pStyle w:val="Default"/>
        <w:spacing w:line="276" w:lineRule="auto"/>
        <w:ind w:firstLine="567"/>
        <w:jc w:val="both"/>
        <w:rPr>
          <w:b/>
          <w:bCs/>
          <w:sz w:val="28"/>
          <w:szCs w:val="28"/>
        </w:rPr>
      </w:pPr>
    </w:p>
    <w:p w:rsidR="000303CA" w:rsidRDefault="000303CA" w:rsidP="00047218">
      <w:pPr>
        <w:pStyle w:val="Default"/>
        <w:spacing w:line="276" w:lineRule="auto"/>
        <w:ind w:firstLine="567"/>
        <w:jc w:val="both"/>
        <w:rPr>
          <w:sz w:val="28"/>
          <w:szCs w:val="28"/>
        </w:rPr>
      </w:pPr>
      <w:r>
        <w:rPr>
          <w:b/>
          <w:bCs/>
          <w:sz w:val="28"/>
          <w:szCs w:val="28"/>
        </w:rPr>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Pr="00B503AA" w:rsidRDefault="00B503AA" w:rsidP="00B503AA">
      <w:pPr>
        <w:pStyle w:val="ReportMain"/>
        <w:suppressAutoHyphens/>
        <w:ind w:firstLine="709"/>
        <w:jc w:val="both"/>
        <w:rPr>
          <w:sz w:val="28"/>
          <w:szCs w:val="28"/>
        </w:rPr>
      </w:pPr>
      <w:r w:rsidRPr="003E11AF">
        <w:rPr>
          <w:sz w:val="28"/>
          <w:szCs w:val="28"/>
        </w:rPr>
        <w:t>Процесс изучения дисциплины направлен на формирование следующих результатов</w:t>
      </w:r>
      <w:r w:rsidRPr="00B503AA">
        <w:rPr>
          <w:sz w:val="28"/>
          <w:szCs w:val="28"/>
        </w:rPr>
        <w:t xml:space="preserve"> обучения</w:t>
      </w:r>
    </w:p>
    <w:p w:rsidR="00B503AA" w:rsidRPr="00B503AA" w:rsidRDefault="00B503AA" w:rsidP="00B503AA">
      <w:pPr>
        <w:pStyle w:val="ReportMain"/>
        <w:suppressAutoHyphens/>
        <w:ind w:firstLine="709"/>
        <w:jc w:val="both"/>
        <w:rPr>
          <w:sz w:val="28"/>
          <w:szCs w:val="28"/>
        </w:rPr>
      </w:pPr>
    </w:p>
    <w:tbl>
      <w:tblPr>
        <w:tblW w:w="105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A47E5E" w:rsidRPr="001372A6" w:rsidTr="00A47E5E">
        <w:trPr>
          <w:tblHeader/>
        </w:trPr>
        <w:tc>
          <w:tcPr>
            <w:tcW w:w="7370" w:type="dxa"/>
            <w:shd w:val="clear" w:color="auto" w:fill="auto"/>
            <w:vAlign w:val="center"/>
          </w:tcPr>
          <w:p w:rsidR="00A47E5E" w:rsidRPr="001372A6" w:rsidRDefault="00A47E5E" w:rsidP="000A586D">
            <w:pPr>
              <w:pStyle w:val="ReportMain"/>
              <w:suppressAutoHyphens/>
              <w:jc w:val="center"/>
            </w:pPr>
            <w:r w:rsidRPr="001372A6">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A47E5E" w:rsidRPr="001372A6" w:rsidRDefault="00A47E5E" w:rsidP="000A586D">
            <w:pPr>
              <w:pStyle w:val="ReportMain"/>
              <w:suppressAutoHyphens/>
              <w:jc w:val="center"/>
            </w:pPr>
            <w:r w:rsidRPr="001372A6">
              <w:t>Формируемые компетенции</w:t>
            </w:r>
          </w:p>
        </w:tc>
      </w:tr>
      <w:tr w:rsidR="00A47E5E" w:rsidRPr="001372A6" w:rsidTr="00A47E5E">
        <w:tc>
          <w:tcPr>
            <w:tcW w:w="7370" w:type="dxa"/>
            <w:shd w:val="clear" w:color="auto" w:fill="auto"/>
          </w:tcPr>
          <w:p w:rsidR="00A47E5E" w:rsidRPr="00B95B5C" w:rsidRDefault="00A47E5E" w:rsidP="000A586D">
            <w:pPr>
              <w:pStyle w:val="ReportMain"/>
              <w:suppressAutoHyphens/>
              <w:jc w:val="both"/>
              <w:rPr>
                <w:szCs w:val="24"/>
              </w:rPr>
            </w:pPr>
            <w:r w:rsidRPr="00B95B5C">
              <w:rPr>
                <w:b/>
                <w:szCs w:val="24"/>
                <w:u w:val="single"/>
              </w:rPr>
              <w:t>Знать:</w:t>
            </w:r>
          </w:p>
          <w:p w:rsidR="00A47E5E" w:rsidRPr="00B95B5C" w:rsidRDefault="00A47E5E" w:rsidP="000A586D">
            <w:pPr>
              <w:pStyle w:val="ReportMain"/>
              <w:suppressAutoHyphens/>
              <w:jc w:val="both"/>
              <w:rPr>
                <w:color w:val="000000"/>
                <w:szCs w:val="24"/>
              </w:rPr>
            </w:pPr>
            <w:r w:rsidRPr="00B95B5C">
              <w:rPr>
                <w:szCs w:val="24"/>
              </w:rPr>
              <w:t xml:space="preserve">- </w:t>
            </w:r>
            <w:r>
              <w:rPr>
                <w:szCs w:val="24"/>
              </w:rPr>
              <w:t>теорию</w:t>
            </w:r>
            <w:r w:rsidRPr="00B95B5C">
              <w:rPr>
                <w:color w:val="000000"/>
                <w:szCs w:val="24"/>
              </w:rPr>
              <w:t xml:space="preserve"> общей энергетики, </w:t>
            </w:r>
            <w:r>
              <w:rPr>
                <w:color w:val="000000"/>
                <w:szCs w:val="24"/>
              </w:rPr>
              <w:t xml:space="preserve">основные законы термодинамики, </w:t>
            </w:r>
            <w:r w:rsidRPr="00B95B5C">
              <w:rPr>
                <w:color w:val="000000"/>
                <w:szCs w:val="24"/>
              </w:rPr>
              <w:t>включая основные методы и способы преобразования энергии;</w:t>
            </w:r>
          </w:p>
          <w:p w:rsidR="00A47E5E" w:rsidRPr="00B95B5C" w:rsidRDefault="00A47E5E" w:rsidP="000A586D">
            <w:pPr>
              <w:pStyle w:val="ReportMain"/>
              <w:suppressAutoHyphens/>
              <w:jc w:val="both"/>
              <w:rPr>
                <w:color w:val="000000"/>
                <w:szCs w:val="24"/>
              </w:rPr>
            </w:pPr>
            <w:r w:rsidRPr="00B95B5C">
              <w:rPr>
                <w:color w:val="000000"/>
                <w:szCs w:val="24"/>
              </w:rPr>
              <w:t xml:space="preserve">- </w:t>
            </w:r>
            <w:r>
              <w:rPr>
                <w:color w:val="000000"/>
                <w:szCs w:val="24"/>
              </w:rPr>
              <w:t>способы</w:t>
            </w:r>
            <w:r w:rsidRPr="00B95B5C">
              <w:rPr>
                <w:color w:val="000000"/>
                <w:szCs w:val="24"/>
              </w:rPr>
              <w:t xml:space="preserve"> производства электроэнергии на тепловых, атомных и гидравлических электростанциях;  </w:t>
            </w:r>
          </w:p>
          <w:p w:rsidR="00A47E5E" w:rsidRPr="00B95B5C" w:rsidRDefault="00A47E5E" w:rsidP="000A586D">
            <w:pPr>
              <w:pStyle w:val="ReportMain"/>
              <w:suppressAutoHyphens/>
              <w:jc w:val="both"/>
              <w:rPr>
                <w:szCs w:val="24"/>
              </w:rPr>
            </w:pPr>
            <w:r w:rsidRPr="00B95B5C">
              <w:rPr>
                <w:color w:val="000000"/>
                <w:szCs w:val="24"/>
              </w:rPr>
              <w:t xml:space="preserve">- </w:t>
            </w:r>
            <w:r>
              <w:rPr>
                <w:color w:val="000000"/>
                <w:szCs w:val="24"/>
              </w:rPr>
              <w:t>специфику нетрадиционных и возобновляемых</w:t>
            </w:r>
            <w:r w:rsidRPr="00B95B5C">
              <w:rPr>
                <w:color w:val="000000"/>
                <w:szCs w:val="24"/>
              </w:rPr>
              <w:t xml:space="preserve"> источник</w:t>
            </w:r>
            <w:r>
              <w:rPr>
                <w:color w:val="000000"/>
                <w:szCs w:val="24"/>
              </w:rPr>
              <w:t xml:space="preserve">ов </w:t>
            </w:r>
            <w:r w:rsidRPr="00B95B5C">
              <w:rPr>
                <w:color w:val="000000"/>
                <w:szCs w:val="24"/>
              </w:rPr>
              <w:t>электроэнергии.</w:t>
            </w:r>
          </w:p>
          <w:p w:rsidR="00A47E5E" w:rsidRPr="00B95B5C" w:rsidRDefault="00A47E5E" w:rsidP="000A586D">
            <w:pPr>
              <w:pStyle w:val="ReportMain"/>
              <w:suppressAutoHyphens/>
              <w:jc w:val="both"/>
              <w:rPr>
                <w:szCs w:val="24"/>
              </w:rPr>
            </w:pPr>
            <w:r w:rsidRPr="00B95B5C">
              <w:rPr>
                <w:b/>
                <w:szCs w:val="24"/>
                <w:u w:val="single"/>
              </w:rPr>
              <w:t>Уметь:</w:t>
            </w:r>
          </w:p>
          <w:p w:rsidR="00A47E5E" w:rsidRDefault="00A47E5E" w:rsidP="000A586D">
            <w:pPr>
              <w:pStyle w:val="ReportMain"/>
              <w:suppressAutoHyphens/>
              <w:jc w:val="both"/>
              <w:rPr>
                <w:szCs w:val="24"/>
              </w:rPr>
            </w:pPr>
            <w:r w:rsidRPr="00B95B5C">
              <w:rPr>
                <w:szCs w:val="24"/>
              </w:rPr>
              <w:t xml:space="preserve">- </w:t>
            </w:r>
            <w:r>
              <w:rPr>
                <w:szCs w:val="24"/>
              </w:rPr>
              <w:t>применять</w:t>
            </w:r>
            <w:r w:rsidRPr="00B95B5C">
              <w:rPr>
                <w:szCs w:val="24"/>
              </w:rPr>
              <w:t xml:space="preserve"> технологии производства электроэнергии на э</w:t>
            </w:r>
            <w:r>
              <w:rPr>
                <w:szCs w:val="24"/>
              </w:rPr>
              <w:t>лектростанциях различных типов;</w:t>
            </w:r>
          </w:p>
          <w:p w:rsidR="00A47E5E" w:rsidRPr="00B95B5C" w:rsidRDefault="00A47E5E" w:rsidP="000A586D">
            <w:pPr>
              <w:pStyle w:val="ReportMain"/>
              <w:suppressAutoHyphens/>
              <w:jc w:val="both"/>
              <w:rPr>
                <w:szCs w:val="24"/>
              </w:rPr>
            </w:pPr>
            <w:r>
              <w:rPr>
                <w:szCs w:val="24"/>
              </w:rPr>
              <w:t xml:space="preserve">- выделять наиболее значимые вопросы в сфере </w:t>
            </w:r>
            <w:r w:rsidRPr="00B95B5C">
              <w:rPr>
                <w:szCs w:val="24"/>
              </w:rPr>
              <w:t>энергосбережения в энергосистеме;</w:t>
            </w:r>
          </w:p>
          <w:p w:rsidR="00A47E5E" w:rsidRPr="00B95B5C" w:rsidRDefault="00A47E5E" w:rsidP="000A586D">
            <w:pPr>
              <w:pStyle w:val="ReportMain"/>
              <w:suppressAutoHyphens/>
              <w:jc w:val="both"/>
              <w:rPr>
                <w:szCs w:val="24"/>
              </w:rPr>
            </w:pPr>
            <w:r w:rsidRPr="00B95B5C">
              <w:rPr>
                <w:szCs w:val="24"/>
              </w:rPr>
              <w:t xml:space="preserve">- </w:t>
            </w:r>
            <w:r>
              <w:rPr>
                <w:szCs w:val="24"/>
              </w:rPr>
              <w:t>анализировать</w:t>
            </w:r>
            <w:r w:rsidRPr="00B95B5C">
              <w:rPr>
                <w:szCs w:val="24"/>
              </w:rPr>
              <w:t xml:space="preserve"> информацию, содерж</w:t>
            </w:r>
            <w:r>
              <w:rPr>
                <w:szCs w:val="24"/>
              </w:rPr>
              <w:t xml:space="preserve">ащуюся в различных источниках </w:t>
            </w:r>
            <w:r w:rsidRPr="00B95B5C">
              <w:rPr>
                <w:szCs w:val="24"/>
              </w:rPr>
              <w:t xml:space="preserve"> по тематике разделов дисциплины.  </w:t>
            </w:r>
          </w:p>
          <w:p w:rsidR="00A47E5E" w:rsidRPr="00B95B5C" w:rsidRDefault="00A47E5E" w:rsidP="000A586D">
            <w:pPr>
              <w:pStyle w:val="ReportMain"/>
              <w:suppressAutoHyphens/>
              <w:jc w:val="both"/>
              <w:rPr>
                <w:szCs w:val="24"/>
              </w:rPr>
            </w:pPr>
            <w:r w:rsidRPr="00B95B5C">
              <w:rPr>
                <w:b/>
                <w:szCs w:val="24"/>
                <w:u w:val="single"/>
              </w:rPr>
              <w:t>Владеть:</w:t>
            </w:r>
          </w:p>
          <w:p w:rsidR="00A47E5E" w:rsidRPr="00B95B5C" w:rsidRDefault="00A47E5E" w:rsidP="000A586D">
            <w:pPr>
              <w:pStyle w:val="ReportMain"/>
              <w:suppressAutoHyphens/>
              <w:jc w:val="both"/>
              <w:rPr>
                <w:color w:val="000000"/>
                <w:szCs w:val="24"/>
              </w:rPr>
            </w:pPr>
            <w:r>
              <w:rPr>
                <w:color w:val="000000"/>
                <w:szCs w:val="24"/>
              </w:rPr>
              <w:t>- навыками</w:t>
            </w:r>
            <w:r w:rsidRPr="00B95B5C">
              <w:rPr>
                <w:color w:val="000000"/>
                <w:szCs w:val="24"/>
              </w:rPr>
              <w:t xml:space="preserve"> сравнения способов выработки энергии на</w:t>
            </w:r>
            <w:r>
              <w:rPr>
                <w:color w:val="000000"/>
                <w:szCs w:val="24"/>
              </w:rPr>
              <w:t xml:space="preserve"> тепловых</w:t>
            </w:r>
            <w:r w:rsidRPr="00B95B5C">
              <w:rPr>
                <w:color w:val="000000"/>
                <w:szCs w:val="24"/>
              </w:rPr>
              <w:t xml:space="preserve"> электростанциях;</w:t>
            </w:r>
          </w:p>
          <w:p w:rsidR="00A47E5E" w:rsidRPr="001372A6" w:rsidRDefault="00A47E5E" w:rsidP="000A586D">
            <w:pPr>
              <w:pStyle w:val="ReportMain"/>
              <w:suppressAutoHyphens/>
              <w:jc w:val="both"/>
            </w:pPr>
            <w:r w:rsidRPr="00B95B5C">
              <w:rPr>
                <w:color w:val="000000"/>
                <w:szCs w:val="24"/>
              </w:rPr>
              <w:t>-</w:t>
            </w:r>
            <w:r w:rsidRPr="00B95B5C">
              <w:rPr>
                <w:szCs w:val="24"/>
              </w:rPr>
              <w:t xml:space="preserve"> </w:t>
            </w:r>
            <w:r>
              <w:rPr>
                <w:szCs w:val="24"/>
              </w:rPr>
              <w:t xml:space="preserve">навыками расчета выдачи тепловой энергии </w:t>
            </w:r>
            <w:r w:rsidRPr="00272A62">
              <w:rPr>
                <w:color w:val="000000"/>
                <w:szCs w:val="24"/>
              </w:rPr>
              <w:t>промышленны</w:t>
            </w:r>
            <w:r>
              <w:rPr>
                <w:color w:val="000000"/>
                <w:szCs w:val="24"/>
              </w:rPr>
              <w:t>м</w:t>
            </w:r>
            <w:r w:rsidRPr="00272A62">
              <w:rPr>
                <w:color w:val="000000"/>
                <w:szCs w:val="24"/>
              </w:rPr>
              <w:t xml:space="preserve"> предприяти</w:t>
            </w:r>
            <w:r>
              <w:rPr>
                <w:color w:val="000000"/>
                <w:szCs w:val="24"/>
              </w:rPr>
              <w:t>ям</w:t>
            </w:r>
            <w:r w:rsidRPr="00272A62">
              <w:rPr>
                <w:color w:val="000000"/>
                <w:szCs w:val="24"/>
              </w:rPr>
              <w:t xml:space="preserve"> и бытовы</w:t>
            </w:r>
            <w:r>
              <w:rPr>
                <w:color w:val="000000"/>
                <w:szCs w:val="24"/>
              </w:rPr>
              <w:t>м</w:t>
            </w:r>
            <w:r w:rsidRPr="00272A62">
              <w:rPr>
                <w:color w:val="000000"/>
                <w:szCs w:val="24"/>
              </w:rPr>
              <w:t xml:space="preserve"> потребител</w:t>
            </w:r>
            <w:r>
              <w:rPr>
                <w:color w:val="000000"/>
                <w:szCs w:val="24"/>
              </w:rPr>
              <w:t>ям</w:t>
            </w:r>
          </w:p>
        </w:tc>
        <w:tc>
          <w:tcPr>
            <w:tcW w:w="3175" w:type="dxa"/>
            <w:shd w:val="clear" w:color="auto" w:fill="auto"/>
          </w:tcPr>
          <w:p w:rsidR="00A47E5E" w:rsidRPr="001372A6" w:rsidRDefault="00A47E5E" w:rsidP="000A586D">
            <w:pPr>
              <w:pStyle w:val="ReportMain"/>
              <w:suppressAutoHyphens/>
            </w:pPr>
            <w:r w:rsidRPr="001372A6">
              <w:t>ОПК-2 спосо</w:t>
            </w:r>
            <w:r>
              <w:t>бность</w:t>
            </w:r>
            <w:r w:rsidRPr="001372A6">
              <w:t xml:space="preserve">  выявлять  естественнонаучную  сущность  проблем, возникающих  в  ходе  профессионально-педагогической  деятельности</w:t>
            </w:r>
          </w:p>
        </w:tc>
      </w:tr>
      <w:tr w:rsidR="00A47E5E" w:rsidRPr="001372A6" w:rsidTr="00A47E5E">
        <w:tc>
          <w:tcPr>
            <w:tcW w:w="7370" w:type="dxa"/>
            <w:shd w:val="clear" w:color="auto" w:fill="auto"/>
          </w:tcPr>
          <w:p w:rsidR="00A47E5E" w:rsidRPr="001372A6" w:rsidRDefault="00A47E5E" w:rsidP="000A586D">
            <w:pPr>
              <w:pStyle w:val="ReportMain"/>
              <w:suppressAutoHyphens/>
              <w:jc w:val="both"/>
            </w:pPr>
            <w:r w:rsidRPr="001372A6">
              <w:rPr>
                <w:b/>
                <w:u w:val="single"/>
              </w:rPr>
              <w:t>Знать:</w:t>
            </w:r>
          </w:p>
          <w:p w:rsidR="00A47E5E" w:rsidRPr="00677CDB" w:rsidRDefault="00A47E5E" w:rsidP="000A586D">
            <w:pPr>
              <w:pStyle w:val="ReportMain"/>
              <w:suppressAutoHyphens/>
              <w:jc w:val="both"/>
              <w:rPr>
                <w:szCs w:val="24"/>
              </w:rPr>
            </w:pPr>
            <w:r w:rsidRPr="00677CDB">
              <w:rPr>
                <w:color w:val="000000"/>
                <w:szCs w:val="24"/>
                <w:shd w:val="clear" w:color="auto" w:fill="FFFFFF"/>
              </w:rPr>
              <w:t xml:space="preserve">- методы контроля технологического процесса </w:t>
            </w:r>
            <w:r>
              <w:rPr>
                <w:color w:val="000000"/>
                <w:szCs w:val="24"/>
                <w:shd w:val="clear" w:color="auto" w:fill="FFFFFF"/>
              </w:rPr>
              <w:t xml:space="preserve">при производстве тепловой и электрической энергии </w:t>
            </w:r>
          </w:p>
          <w:p w:rsidR="00A47E5E" w:rsidRDefault="00A47E5E" w:rsidP="000A586D">
            <w:pPr>
              <w:pStyle w:val="ReportMain"/>
              <w:suppressAutoHyphens/>
              <w:jc w:val="both"/>
              <w:rPr>
                <w:color w:val="000000"/>
                <w:szCs w:val="24"/>
                <w:shd w:val="clear" w:color="auto" w:fill="FFFFFF"/>
              </w:rPr>
            </w:pPr>
            <w:r w:rsidRPr="00677CDB">
              <w:rPr>
                <w:color w:val="000000"/>
                <w:szCs w:val="24"/>
                <w:shd w:val="clear" w:color="auto" w:fill="FFFFFF"/>
              </w:rPr>
              <w:t xml:space="preserve">- способы организации </w:t>
            </w:r>
            <w:r>
              <w:rPr>
                <w:color w:val="000000"/>
                <w:szCs w:val="24"/>
                <w:shd w:val="clear" w:color="auto" w:fill="FFFFFF"/>
              </w:rPr>
              <w:t xml:space="preserve">и контроля </w:t>
            </w:r>
            <w:r w:rsidRPr="00677CDB">
              <w:rPr>
                <w:color w:val="000000"/>
                <w:szCs w:val="24"/>
                <w:shd w:val="clear" w:color="auto" w:fill="FFFFFF"/>
              </w:rPr>
              <w:t>технологического процесса в учебных мастерских, организациях и предприятиях</w:t>
            </w:r>
            <w:r>
              <w:rPr>
                <w:color w:val="000000"/>
                <w:szCs w:val="24"/>
                <w:shd w:val="clear" w:color="auto" w:fill="FFFFFF"/>
              </w:rPr>
              <w:t>.</w:t>
            </w:r>
          </w:p>
          <w:p w:rsidR="00A47E5E" w:rsidRPr="00677CDB" w:rsidRDefault="00A47E5E" w:rsidP="000A586D">
            <w:pPr>
              <w:pStyle w:val="ReportMain"/>
              <w:suppressAutoHyphens/>
              <w:jc w:val="both"/>
              <w:rPr>
                <w:szCs w:val="24"/>
              </w:rPr>
            </w:pPr>
            <w:r>
              <w:rPr>
                <w:rFonts w:eastAsia="Times New Roman"/>
                <w:szCs w:val="24"/>
                <w:lang w:eastAsia="ru-RU"/>
              </w:rPr>
              <w:t xml:space="preserve">- </w:t>
            </w:r>
            <w:r w:rsidRPr="009C62BD">
              <w:rPr>
                <w:rFonts w:eastAsia="Times New Roman"/>
                <w:szCs w:val="24"/>
                <w:lang w:eastAsia="ru-RU"/>
              </w:rPr>
              <w:t>правила ТБ, ПБ и санитарно-гигиенические требования при организации технологического процесса в учебных мастерских</w:t>
            </w:r>
            <w:r w:rsidRPr="009C62BD">
              <w:rPr>
                <w:szCs w:val="24"/>
              </w:rPr>
              <w:t>, организациях и предприятиях</w:t>
            </w:r>
          </w:p>
          <w:p w:rsidR="00A47E5E" w:rsidRPr="001372A6" w:rsidRDefault="00A47E5E" w:rsidP="000A586D">
            <w:pPr>
              <w:pStyle w:val="ReportMain"/>
              <w:suppressAutoHyphens/>
              <w:jc w:val="both"/>
            </w:pPr>
            <w:r w:rsidRPr="001372A6">
              <w:rPr>
                <w:b/>
                <w:u w:val="single"/>
              </w:rPr>
              <w:t>Уметь:</w:t>
            </w:r>
          </w:p>
          <w:p w:rsidR="00A47E5E" w:rsidRPr="009C62BD" w:rsidRDefault="00A47E5E" w:rsidP="000A586D">
            <w:pPr>
              <w:pStyle w:val="Default"/>
            </w:pPr>
            <w:r w:rsidRPr="009C62BD">
              <w:t xml:space="preserve">- применять </w:t>
            </w:r>
            <w:r>
              <w:t>технологическую документацию</w:t>
            </w:r>
            <w:r w:rsidRPr="009C62BD">
              <w:t xml:space="preserve"> в ходе выполнения технологического процесса в учебных мастерских, организациях и предприятиях</w:t>
            </w:r>
          </w:p>
          <w:p w:rsidR="00A47E5E" w:rsidRDefault="00A47E5E" w:rsidP="000A586D">
            <w:pPr>
              <w:pStyle w:val="ReportMain"/>
              <w:suppressAutoHyphens/>
              <w:jc w:val="both"/>
              <w:rPr>
                <w:b/>
                <w:u w:val="single"/>
              </w:rPr>
            </w:pPr>
            <w:r>
              <w:t xml:space="preserve">- обобщать и систематизировать, проводить необходимые расчеты с использованием современных технических средств в ходе контроля </w:t>
            </w:r>
            <w:r w:rsidRPr="001C5A64">
              <w:t>технологический процесс в учебных мастерских, организациях и предприятиях</w:t>
            </w:r>
            <w:r>
              <w:t>;</w:t>
            </w:r>
          </w:p>
          <w:p w:rsidR="00A47E5E" w:rsidRPr="001372A6" w:rsidRDefault="00A47E5E" w:rsidP="000A586D">
            <w:pPr>
              <w:pStyle w:val="ReportMain"/>
              <w:suppressAutoHyphens/>
              <w:jc w:val="both"/>
            </w:pPr>
            <w:r w:rsidRPr="001372A6">
              <w:rPr>
                <w:b/>
                <w:u w:val="single"/>
              </w:rPr>
              <w:t>Владеть:</w:t>
            </w:r>
          </w:p>
          <w:p w:rsidR="00A47E5E" w:rsidRDefault="00A47E5E" w:rsidP="000A586D">
            <w:pPr>
              <w:pStyle w:val="ReportMain"/>
              <w:suppressAutoHyphens/>
              <w:jc w:val="both"/>
              <w:rPr>
                <w:szCs w:val="24"/>
              </w:rPr>
            </w:pPr>
            <w:r w:rsidRPr="009C62BD">
              <w:rPr>
                <w:szCs w:val="24"/>
              </w:rPr>
              <w:t xml:space="preserve">- навыками организации и контроля технологического процесса при работе с </w:t>
            </w:r>
            <w:r>
              <w:rPr>
                <w:szCs w:val="24"/>
              </w:rPr>
              <w:t>оборудованием</w:t>
            </w:r>
            <w:r w:rsidRPr="009C62BD">
              <w:rPr>
                <w:szCs w:val="24"/>
              </w:rPr>
              <w:t xml:space="preserve"> в учебных мастерских, организациях и предприятиях</w:t>
            </w:r>
            <w:r>
              <w:rPr>
                <w:szCs w:val="24"/>
              </w:rPr>
              <w:t>.</w:t>
            </w:r>
          </w:p>
          <w:p w:rsidR="00A47E5E" w:rsidRPr="001372A6" w:rsidRDefault="00A47E5E" w:rsidP="000A586D">
            <w:pPr>
              <w:pStyle w:val="ReportMain"/>
              <w:suppressAutoHyphens/>
              <w:jc w:val="both"/>
            </w:pPr>
            <w:r>
              <w:rPr>
                <w:szCs w:val="24"/>
              </w:rPr>
              <w:lastRenderedPageBreak/>
              <w:t xml:space="preserve">- навыками работы с нормативной документацией, чтения технологических схем при </w:t>
            </w:r>
            <w:r w:rsidRPr="009C62BD">
              <w:rPr>
                <w:szCs w:val="24"/>
              </w:rPr>
              <w:t>организации и контрол</w:t>
            </w:r>
            <w:r>
              <w:rPr>
                <w:szCs w:val="24"/>
              </w:rPr>
              <w:t>е</w:t>
            </w:r>
            <w:r w:rsidRPr="009C62BD">
              <w:rPr>
                <w:szCs w:val="24"/>
              </w:rPr>
              <w:t xml:space="preserve"> технологического процесса</w:t>
            </w:r>
          </w:p>
        </w:tc>
        <w:tc>
          <w:tcPr>
            <w:tcW w:w="3175" w:type="dxa"/>
            <w:shd w:val="clear" w:color="auto" w:fill="auto"/>
          </w:tcPr>
          <w:p w:rsidR="00A47E5E" w:rsidRPr="001372A6" w:rsidRDefault="00A47E5E" w:rsidP="000A586D">
            <w:pPr>
              <w:pStyle w:val="ReportMain"/>
              <w:suppressAutoHyphens/>
            </w:pPr>
            <w:r>
              <w:lastRenderedPageBreak/>
              <w:t>ПК-25</w:t>
            </w:r>
            <w:r w:rsidRPr="001372A6">
              <w:t xml:space="preserve"> </w:t>
            </w:r>
            <w:r>
              <w:t>способность</w:t>
            </w:r>
            <w:r w:rsidRPr="001C5A64">
              <w:t xml:space="preserve"> организовывать  и  контролировать  технологический процесс в учебных мастерских, организациях и предприятиях</w:t>
            </w:r>
          </w:p>
        </w:tc>
      </w:tr>
    </w:tbl>
    <w:p w:rsidR="00493E51" w:rsidRDefault="00493E51" w:rsidP="006F32C8">
      <w:pPr>
        <w:pStyle w:val="Default"/>
        <w:ind w:firstLine="567"/>
        <w:jc w:val="both"/>
        <w:rPr>
          <w:b/>
          <w:bCs/>
          <w:sz w:val="28"/>
          <w:szCs w:val="28"/>
        </w:rPr>
      </w:pPr>
    </w:p>
    <w:p w:rsidR="00A628A9" w:rsidRDefault="001229C6" w:rsidP="006F32C8">
      <w:pPr>
        <w:pStyle w:val="Default"/>
        <w:ind w:firstLine="567"/>
        <w:jc w:val="both"/>
        <w:rPr>
          <w:b/>
          <w:sz w:val="28"/>
          <w:szCs w:val="28"/>
        </w:rPr>
      </w:pPr>
      <w:r>
        <w:rPr>
          <w:b/>
          <w:sz w:val="28"/>
          <w:szCs w:val="28"/>
        </w:rPr>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477D55" w:rsidRPr="003E11AF">
        <w:rPr>
          <w:rFonts w:ascii="Times New Roman" w:hAnsi="Times New Roman" w:cs="Times New Roman"/>
          <w:sz w:val="28"/>
          <w:szCs w:val="28"/>
        </w:rPr>
        <w:t>«</w:t>
      </w:r>
      <w:r w:rsidR="00B47F84" w:rsidRPr="003E11AF">
        <w:rPr>
          <w:rFonts w:ascii="Times New Roman" w:hAnsi="Times New Roman" w:cs="Times New Roman"/>
          <w:sz w:val="28"/>
          <w:szCs w:val="28"/>
        </w:rPr>
        <w:t>Общая энергетика</w:t>
      </w:r>
      <w:r w:rsidR="00477D55" w:rsidRPr="003E11AF">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системное  изложение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w:t>
      </w:r>
      <w:r w:rsidRPr="000B6743">
        <w:rPr>
          <w:rFonts w:ascii="Times New Roman" w:hAnsi="Times New Roman" w:cs="Times New Roman"/>
          <w:sz w:val="28"/>
          <w:szCs w:val="28"/>
        </w:rPr>
        <w:lastRenderedPageBreak/>
        <w:t>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заочной  формах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работы, на которых студенты са</w:t>
      </w:r>
      <w:r w:rsidRPr="000B6743">
        <w:rPr>
          <w:rFonts w:ascii="Times New Roman" w:hAnsi="Times New Roman" w:cs="Times New Roman"/>
          <w:sz w:val="28"/>
          <w:szCs w:val="28"/>
        </w:rPr>
        <w:lastRenderedPageBreak/>
        <w:t xml:space="preserve">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lastRenderedPageBreak/>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47F84" w:rsidRDefault="00B47F84"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w:t>
      </w:r>
      <w:r w:rsidRPr="009F2D05">
        <w:rPr>
          <w:sz w:val="28"/>
          <w:szCs w:val="27"/>
          <w:shd w:val="clear" w:color="auto" w:fill="FEFEFE"/>
        </w:rPr>
        <w:lastRenderedPageBreak/>
        <w:t xml:space="preserve">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r>
        <w:rPr>
          <w:b/>
          <w:bCs/>
          <w:sz w:val="28"/>
          <w:szCs w:val="28"/>
        </w:rPr>
        <w:t xml:space="preserve">3.2 </w:t>
      </w:r>
      <w:r w:rsidR="006F02D6">
        <w:rPr>
          <w:b/>
          <w:bCs/>
          <w:sz w:val="28"/>
          <w:szCs w:val="28"/>
        </w:rPr>
        <w:t xml:space="preserve"> Рекомендации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w:t>
      </w:r>
      <w:r>
        <w:rPr>
          <w:sz w:val="28"/>
          <w:szCs w:val="28"/>
        </w:rPr>
        <w:lastRenderedPageBreak/>
        <w:t>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r>
        <w:rPr>
          <w:b/>
          <w:bCs/>
          <w:sz w:val="28"/>
          <w:szCs w:val="28"/>
        </w:rPr>
        <w:t xml:space="preserve">3.3  Методические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может  отражать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анализразличных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w:t>
      </w:r>
      <w:r w:rsidRPr="001229C6">
        <w:rPr>
          <w:rFonts w:ascii="Times New Roman" w:hAnsi="Times New Roman" w:cs="Times New Roman"/>
          <w:sz w:val="28"/>
          <w:szCs w:val="28"/>
        </w:rPr>
        <w:lastRenderedPageBreak/>
        <w:t xml:space="preserve">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всей работы</w:t>
      </w:r>
      <w:r w:rsidRPr="001229C6">
        <w:rPr>
          <w:rFonts w:ascii="Times New Roman" w:hAnsi="Times New Roman" w:cs="Times New Roman"/>
          <w:sz w:val="28"/>
          <w:szCs w:val="28"/>
        </w:rPr>
        <w:t xml:space="preserve">  студент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156EC" w:rsidRDefault="004B0AE6" w:rsidP="006F32C8">
      <w:pPr>
        <w:pStyle w:val="ac"/>
        <w:ind w:firstLine="567"/>
        <w:jc w:val="both"/>
        <w:rPr>
          <w:rFonts w:ascii="Times New Roman" w:hAnsi="Times New Roman" w:cs="Times New Roman"/>
          <w:b/>
          <w:sz w:val="28"/>
          <w:szCs w:val="28"/>
        </w:rPr>
      </w:pPr>
      <w:r>
        <w:rPr>
          <w:rFonts w:ascii="Times New Roman" w:hAnsi="Times New Roman" w:cs="Times New Roman"/>
          <w:b/>
          <w:sz w:val="28"/>
          <w:szCs w:val="28"/>
        </w:rPr>
        <w:t>3.4</w:t>
      </w:r>
      <w:r w:rsidR="007E5875" w:rsidRPr="007E5875">
        <w:rPr>
          <w:rFonts w:ascii="Times New Roman" w:hAnsi="Times New Roman" w:cs="Times New Roman"/>
          <w:b/>
          <w:sz w:val="28"/>
          <w:szCs w:val="28"/>
        </w:rPr>
        <w:t xml:space="preserve">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lastRenderedPageBreak/>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4B0AE6" w:rsidP="006F32C8">
      <w:pPr>
        <w:tabs>
          <w:tab w:val="left" w:pos="2925"/>
        </w:tabs>
        <w:spacing w:after="0" w:line="240" w:lineRule="auto"/>
        <w:ind w:firstLine="567"/>
        <w:jc w:val="both"/>
        <w:rPr>
          <w:rFonts w:ascii="Times New Roman" w:hAnsi="Times New Roman" w:cs="Times New Roman"/>
          <w:b/>
          <w:sz w:val="28"/>
          <w:szCs w:val="28"/>
        </w:rPr>
      </w:pPr>
      <w:r>
        <w:rPr>
          <w:rFonts w:ascii="Times New Roman" w:eastAsia="Times New Roman" w:hAnsi="Times New Roman" w:cs="Times New Roman"/>
          <w:b/>
          <w:color w:val="000000"/>
          <w:sz w:val="28"/>
          <w:szCs w:val="26"/>
          <w:lang w:eastAsia="ru-RU"/>
        </w:rPr>
        <w:t>3.5</w:t>
      </w:r>
      <w:bookmarkStart w:id="0" w:name="_GoBack"/>
      <w:bookmarkEnd w:id="0"/>
      <w:r w:rsidR="007E5875">
        <w:rPr>
          <w:rFonts w:ascii="Times New Roman" w:eastAsia="Times New Roman" w:hAnsi="Times New Roman" w:cs="Times New Roman"/>
          <w:color w:val="000000"/>
          <w:sz w:val="28"/>
          <w:szCs w:val="26"/>
          <w:lang w:eastAsia="ru-RU"/>
        </w:rPr>
        <w:t xml:space="preserve"> </w:t>
      </w:r>
      <w:r w:rsidR="007E5875" w:rsidRPr="007E5875">
        <w:rPr>
          <w:rFonts w:ascii="Times New Roman" w:hAnsi="Times New Roman" w:cs="Times New Roman"/>
          <w:b/>
          <w:sz w:val="28"/>
          <w:szCs w:val="28"/>
        </w:rPr>
        <w:t>Методические рекомендации при подготовке к</w:t>
      </w:r>
      <w:r w:rsidR="007E5875">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 xml:space="preserve">омежуточная </w:t>
      </w:r>
      <w:r w:rsidR="00CB2284">
        <w:rPr>
          <w:b/>
          <w:sz w:val="28"/>
          <w:szCs w:val="28"/>
        </w:rPr>
        <w:t>аттестация (экзамен</w:t>
      </w:r>
      <w:r>
        <w:rPr>
          <w:b/>
          <w:sz w:val="28"/>
          <w:szCs w:val="28"/>
        </w:rPr>
        <w:t>)</w:t>
      </w:r>
    </w:p>
    <w:p w:rsidR="004C1FB0" w:rsidRDefault="00CB2284" w:rsidP="006F32C8">
      <w:pPr>
        <w:pStyle w:val="Default"/>
        <w:ind w:firstLine="567"/>
        <w:jc w:val="both"/>
        <w:rPr>
          <w:sz w:val="28"/>
          <w:szCs w:val="28"/>
        </w:rPr>
      </w:pPr>
      <w:r w:rsidRPr="00CB2284">
        <w:rPr>
          <w:sz w:val="28"/>
          <w:szCs w:val="28"/>
        </w:rPr>
        <w:t>Экзамен</w:t>
      </w:r>
      <w:r w:rsidR="004C1FB0">
        <w:rPr>
          <w:sz w:val="28"/>
          <w:szCs w:val="28"/>
        </w:rPr>
        <w:t xml:space="preserve">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экзаменационно-зачетную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lastRenderedPageBreak/>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w:t>
      </w:r>
      <w:r w:rsidRPr="00261986">
        <w:rPr>
          <w:rFonts w:ascii="Times New Roman" w:hAnsi="Times New Roman" w:cs="Times New Roman"/>
          <w:color w:val="000000"/>
          <w:sz w:val="28"/>
          <w:szCs w:val="28"/>
        </w:rPr>
        <w:lastRenderedPageBreak/>
        <w:t xml:space="preserve">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Критерии оценивания  контрольной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0"/>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36B" w:rsidRDefault="001A336B" w:rsidP="00817BE6">
      <w:pPr>
        <w:spacing w:after="0" w:line="240" w:lineRule="auto"/>
      </w:pPr>
      <w:r>
        <w:separator/>
      </w:r>
    </w:p>
  </w:endnote>
  <w:endnote w:type="continuationSeparator" w:id="0">
    <w:p w:rsidR="001A336B" w:rsidRDefault="001A336B"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4B0AE6">
          <w:rPr>
            <w:rFonts w:ascii="Times New Roman" w:hAnsi="Times New Roman" w:cs="Times New Roman"/>
            <w:noProof/>
            <w:sz w:val="24"/>
            <w:szCs w:val="24"/>
          </w:rPr>
          <w:t>14</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36B" w:rsidRDefault="001A336B" w:rsidP="00817BE6">
      <w:pPr>
        <w:spacing w:after="0" w:line="240" w:lineRule="auto"/>
      </w:pPr>
      <w:r>
        <w:separator/>
      </w:r>
    </w:p>
  </w:footnote>
  <w:footnote w:type="continuationSeparator" w:id="0">
    <w:p w:rsidR="001A336B" w:rsidRDefault="001A336B"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B6743"/>
    <w:rsid w:val="000E1E93"/>
    <w:rsid w:val="000E4F1C"/>
    <w:rsid w:val="000E6D5B"/>
    <w:rsid w:val="000F6DC6"/>
    <w:rsid w:val="001229C6"/>
    <w:rsid w:val="00147C5A"/>
    <w:rsid w:val="00151C92"/>
    <w:rsid w:val="001A336B"/>
    <w:rsid w:val="001A6D1C"/>
    <w:rsid w:val="001B1A33"/>
    <w:rsid w:val="001B556B"/>
    <w:rsid w:val="00243A1A"/>
    <w:rsid w:val="00252D95"/>
    <w:rsid w:val="00261986"/>
    <w:rsid w:val="0028456E"/>
    <w:rsid w:val="00290577"/>
    <w:rsid w:val="00296EA5"/>
    <w:rsid w:val="002A3413"/>
    <w:rsid w:val="002C1D37"/>
    <w:rsid w:val="002D76CF"/>
    <w:rsid w:val="00305815"/>
    <w:rsid w:val="00372F64"/>
    <w:rsid w:val="00383876"/>
    <w:rsid w:val="00387003"/>
    <w:rsid w:val="003D2372"/>
    <w:rsid w:val="003E11AF"/>
    <w:rsid w:val="00417161"/>
    <w:rsid w:val="00433F75"/>
    <w:rsid w:val="00477D55"/>
    <w:rsid w:val="0049342A"/>
    <w:rsid w:val="00493E51"/>
    <w:rsid w:val="004A45A0"/>
    <w:rsid w:val="004B0AE6"/>
    <w:rsid w:val="004C1FB0"/>
    <w:rsid w:val="004C473C"/>
    <w:rsid w:val="00577215"/>
    <w:rsid w:val="005F1F68"/>
    <w:rsid w:val="005F64BE"/>
    <w:rsid w:val="006036A8"/>
    <w:rsid w:val="006156EC"/>
    <w:rsid w:val="00637576"/>
    <w:rsid w:val="00683D2C"/>
    <w:rsid w:val="00694DBB"/>
    <w:rsid w:val="00695993"/>
    <w:rsid w:val="006F02D6"/>
    <w:rsid w:val="006F32C8"/>
    <w:rsid w:val="00703CE0"/>
    <w:rsid w:val="00705C7B"/>
    <w:rsid w:val="00710170"/>
    <w:rsid w:val="007129E5"/>
    <w:rsid w:val="00717502"/>
    <w:rsid w:val="007237BD"/>
    <w:rsid w:val="00745272"/>
    <w:rsid w:val="00771419"/>
    <w:rsid w:val="007B7050"/>
    <w:rsid w:val="007C37D2"/>
    <w:rsid w:val="007E0809"/>
    <w:rsid w:val="007E5875"/>
    <w:rsid w:val="00811604"/>
    <w:rsid w:val="00817BE6"/>
    <w:rsid w:val="008358C0"/>
    <w:rsid w:val="008410FF"/>
    <w:rsid w:val="00852328"/>
    <w:rsid w:val="008612F5"/>
    <w:rsid w:val="00875FD6"/>
    <w:rsid w:val="00891CFA"/>
    <w:rsid w:val="008960B2"/>
    <w:rsid w:val="008D7778"/>
    <w:rsid w:val="009001C2"/>
    <w:rsid w:val="0092088B"/>
    <w:rsid w:val="009220CD"/>
    <w:rsid w:val="009521B1"/>
    <w:rsid w:val="0095387D"/>
    <w:rsid w:val="009A2754"/>
    <w:rsid w:val="009E197C"/>
    <w:rsid w:val="009F2D05"/>
    <w:rsid w:val="00A062B2"/>
    <w:rsid w:val="00A215C8"/>
    <w:rsid w:val="00A47E5E"/>
    <w:rsid w:val="00A628A9"/>
    <w:rsid w:val="00A8107D"/>
    <w:rsid w:val="00A91AD6"/>
    <w:rsid w:val="00A949E8"/>
    <w:rsid w:val="00AD249A"/>
    <w:rsid w:val="00AE0BE4"/>
    <w:rsid w:val="00AF67CE"/>
    <w:rsid w:val="00B047B1"/>
    <w:rsid w:val="00B21EE0"/>
    <w:rsid w:val="00B47F84"/>
    <w:rsid w:val="00B503AA"/>
    <w:rsid w:val="00B546F4"/>
    <w:rsid w:val="00B55747"/>
    <w:rsid w:val="00B80AC3"/>
    <w:rsid w:val="00BD3C36"/>
    <w:rsid w:val="00C021A9"/>
    <w:rsid w:val="00C21982"/>
    <w:rsid w:val="00C21D18"/>
    <w:rsid w:val="00C53504"/>
    <w:rsid w:val="00C57AA9"/>
    <w:rsid w:val="00C70ACC"/>
    <w:rsid w:val="00C83122"/>
    <w:rsid w:val="00C92FDE"/>
    <w:rsid w:val="00CB2284"/>
    <w:rsid w:val="00CC0157"/>
    <w:rsid w:val="00CD673B"/>
    <w:rsid w:val="00D21FDD"/>
    <w:rsid w:val="00D549EA"/>
    <w:rsid w:val="00D728DC"/>
    <w:rsid w:val="00D859AD"/>
    <w:rsid w:val="00DA065C"/>
    <w:rsid w:val="00DA6EB3"/>
    <w:rsid w:val="00DC1E4E"/>
    <w:rsid w:val="00DC3091"/>
    <w:rsid w:val="00DF7774"/>
    <w:rsid w:val="00E43E0B"/>
    <w:rsid w:val="00E604E5"/>
    <w:rsid w:val="00E847AC"/>
    <w:rsid w:val="00EC45E6"/>
    <w:rsid w:val="00ED4F96"/>
    <w:rsid w:val="00F1559F"/>
    <w:rsid w:val="00F46FAD"/>
    <w:rsid w:val="00FC5FB3"/>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7D077-4B01-4DE0-9891-D36FDCDE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54">
      <w:bodyDiv w:val="1"/>
      <w:marLeft w:val="0"/>
      <w:marRight w:val="0"/>
      <w:marTop w:val="0"/>
      <w:marBottom w:val="0"/>
      <w:divBdr>
        <w:top w:val="none" w:sz="0" w:space="0" w:color="auto"/>
        <w:left w:val="none" w:sz="0" w:space="0" w:color="auto"/>
        <w:bottom w:val="none" w:sz="0" w:space="0" w:color="auto"/>
        <w:right w:val="none" w:sz="0" w:space="0" w:color="auto"/>
      </w:divBdr>
    </w:div>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2513525">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90407002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193109273">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voi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6D3AB-7764-405D-8D26-2F2963AD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4991</Words>
  <Characters>28453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2</cp:revision>
  <dcterms:created xsi:type="dcterms:W3CDTF">2019-12-18T08:00:00Z</dcterms:created>
  <dcterms:modified xsi:type="dcterms:W3CDTF">2019-12-18T08:00:00Z</dcterms:modified>
</cp:coreProperties>
</file>