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F57C0" w:rsidRDefault="001613F2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F57C0">
        <w:rPr>
          <w:i/>
          <w:sz w:val="24"/>
          <w:u w:val="single"/>
        </w:rPr>
        <w:t>чная</w:t>
      </w: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92217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92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2016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B9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92217D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«___»______________2016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38.03.01 Экономика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92217D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2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288"/>
        <w:gridCol w:w="4257"/>
      </w:tblGrid>
      <w:tr w:rsidR="00B93A08" w:rsidTr="00FC7104">
        <w:trPr>
          <w:tblHeader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FC7104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66004E" w:rsidRDefault="00B93A08" w:rsidP="0066004E">
      <w:pPr>
        <w:pStyle w:val="ReportMain"/>
        <w:suppressAutoHyphens/>
        <w:ind w:firstLine="709"/>
        <w:jc w:val="both"/>
      </w:pPr>
      <w:r>
        <w:t>Общая труд</w:t>
      </w:r>
      <w:r w:rsidR="00E94C0E">
        <w:t xml:space="preserve">оемкость дисциплины составляет 4 зачетных единиц (144 </w:t>
      </w:r>
      <w:r>
        <w:t>академических часов)</w:t>
      </w:r>
    </w:p>
    <w:p w:rsidR="0066004E" w:rsidRDefault="0066004E" w:rsidP="0066004E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66004E" w:rsidTr="0066004E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Трудоемкость,</w:t>
            </w:r>
          </w:p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академических часов</w:t>
            </w:r>
          </w:p>
        </w:tc>
      </w:tr>
      <w:tr w:rsidR="0066004E" w:rsidTr="0066004E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</w:t>
            </w:r>
          </w:p>
        </w:tc>
      </w:tr>
      <w:tr w:rsidR="0066004E" w:rsidTr="0066004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144</w:t>
            </w:r>
          </w:p>
        </w:tc>
      </w:tr>
      <w:tr w:rsidR="0066004E" w:rsidTr="0066004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11,25</w:t>
            </w:r>
          </w:p>
        </w:tc>
      </w:tr>
      <w:tr w:rsidR="0066004E" w:rsidTr="0066004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</w:tr>
      <w:tr w:rsidR="0066004E" w:rsidTr="0066004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66004E" w:rsidTr="0066004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</w:tr>
      <w:tr w:rsidR="0066004E" w:rsidTr="0066004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</w:tr>
      <w:tr w:rsidR="0066004E" w:rsidTr="0066004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132,75</w:t>
            </w:r>
          </w:p>
        </w:tc>
      </w:tr>
      <w:tr w:rsidR="0066004E" w:rsidTr="0066004E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практическим занятиям;</w:t>
            </w:r>
          </w:p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коллоквиумам;</w:t>
            </w:r>
          </w:p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рубежному контролю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</w:tr>
      <w:tr w:rsidR="0066004E" w:rsidTr="0066004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</w:p>
        </w:tc>
      </w:tr>
    </w:tbl>
    <w:p w:rsidR="0066004E" w:rsidRDefault="0066004E" w:rsidP="0066004E">
      <w:pPr>
        <w:pStyle w:val="ReportMain"/>
        <w:suppressAutoHyphens/>
        <w:ind w:firstLine="709"/>
        <w:jc w:val="both"/>
        <w:rPr>
          <w:szCs w:val="20"/>
        </w:rPr>
      </w:pPr>
    </w:p>
    <w:p w:rsidR="0066004E" w:rsidRDefault="0066004E" w:rsidP="0066004E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:rsidR="0066004E" w:rsidRDefault="0066004E" w:rsidP="0066004E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66004E" w:rsidTr="0066004E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Количество часов</w:t>
            </w:r>
          </w:p>
        </w:tc>
      </w:tr>
      <w:tr w:rsidR="0066004E" w:rsidTr="0066004E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rPr>
                <w:rFonts w:ascii="Calibri" w:eastAsia="Times New Roman" w:hAnsi="Calibri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аудиторная</w:t>
            </w:r>
          </w:p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внеауд</w:t>
            </w:r>
            <w:proofErr w:type="spellEnd"/>
            <w:r>
              <w:rPr>
                <w:rFonts w:ascii="Calibri" w:eastAsia="Times New Roman" w:hAnsi="Calibri"/>
              </w:rPr>
              <w:t>. работа</w:t>
            </w:r>
          </w:p>
        </w:tc>
      </w:tr>
      <w:tr w:rsidR="0066004E" w:rsidTr="0066004E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rPr>
                <w:rFonts w:ascii="Calibri" w:eastAsia="Times New Roman" w:hAnsi="Calibri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E" w:rsidRDefault="0066004E">
            <w:pPr>
              <w:rPr>
                <w:rFonts w:ascii="Calibri" w:eastAsia="Times New Roman" w:hAnsi="Calibri"/>
                <w:sz w:val="24"/>
              </w:rPr>
            </w:pPr>
          </w:p>
        </w:tc>
      </w:tr>
      <w:bookmarkEnd w:id="4"/>
      <w:bookmarkEnd w:id="7"/>
      <w:tr w:rsidR="0066004E" w:rsidTr="00660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Философия, ее предмет и место в культуре.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26</w:t>
            </w:r>
          </w:p>
        </w:tc>
      </w:tr>
      <w:tr w:rsidR="0066004E" w:rsidTr="00660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Исторические типы философии, философские традиции и современные дискуссии.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26</w:t>
            </w:r>
          </w:p>
        </w:tc>
      </w:tr>
      <w:tr w:rsidR="0066004E" w:rsidTr="00660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Философская онтология.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26</w:t>
            </w:r>
          </w:p>
        </w:tc>
      </w:tr>
      <w:tr w:rsidR="0066004E" w:rsidTr="00660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26</w:t>
            </w:r>
          </w:p>
        </w:tc>
      </w:tr>
      <w:tr w:rsidR="0066004E" w:rsidTr="00660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и методология науки</w:t>
            </w:r>
            <w:proofErr w:type="gramStart"/>
            <w:r>
              <w:rPr>
                <w:rFonts w:ascii="Calibri" w:eastAsia="Times New Roman" w:hAnsi="Calibri"/>
                <w:szCs w:val="24"/>
              </w:rPr>
              <w:t>.</w:t>
            </w:r>
            <w:r>
              <w:rPr>
                <w:rFonts w:ascii="Calibri" w:eastAsia="Times New Roman" w:hAnsi="Calibri"/>
                <w:color w:val="00000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30</w:t>
            </w:r>
          </w:p>
        </w:tc>
      </w:tr>
      <w:tr w:rsidR="0066004E" w:rsidTr="00660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134</w:t>
            </w:r>
          </w:p>
        </w:tc>
      </w:tr>
      <w:tr w:rsidR="0066004E" w:rsidTr="00660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E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134</w:t>
            </w:r>
          </w:p>
        </w:tc>
      </w:tr>
    </w:tbl>
    <w:p w:rsidR="0066004E" w:rsidRDefault="0066004E" w:rsidP="0066004E">
      <w:pPr>
        <w:pStyle w:val="ReportMain"/>
        <w:suppressAutoHyphens/>
        <w:ind w:firstLine="709"/>
        <w:jc w:val="both"/>
      </w:pPr>
    </w:p>
    <w:p w:rsidR="00B93A08" w:rsidRDefault="00400ABA" w:rsidP="0066004E">
      <w:pPr>
        <w:pStyle w:val="ReportMain"/>
        <w:suppressAutoHyphens/>
        <w:ind w:firstLine="709"/>
        <w:jc w:val="both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представление: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lastRenderedPageBreak/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 xml:space="preserve">онятия- </w:t>
      </w:r>
      <w:r w:rsidRPr="00E143A0">
        <w:rPr>
          <w:sz w:val="28"/>
          <w:szCs w:val="28"/>
        </w:rPr>
        <w:lastRenderedPageBreak/>
        <w:t>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</w:t>
      </w:r>
      <w:r>
        <w:rPr>
          <w:sz w:val="28"/>
          <w:szCs w:val="28"/>
        </w:rPr>
        <w:lastRenderedPageBreak/>
        <w:t xml:space="preserve">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</w:t>
      </w:r>
      <w:r>
        <w:rPr>
          <w:color w:val="000000"/>
          <w:sz w:val="27"/>
          <w:szCs w:val="27"/>
        </w:rPr>
        <w:lastRenderedPageBreak/>
        <w:t>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2217D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2217D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2217D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2217D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2217D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10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 xml:space="preserve">колы античной философии. Философская школа софистов. Классический </w:t>
      </w:r>
      <w:r w:rsidR="00C00B55">
        <w:rPr>
          <w:rFonts w:ascii="Calibri" w:eastAsia="Times New Roman" w:hAnsi="Calibri"/>
        </w:rPr>
        <w:lastRenderedPageBreak/>
        <w:t>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lastRenderedPageBreak/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 xml:space="preserve">лью фактического и личностного понимания ключевых понятий в рамках данного вопроса </w:t>
      </w:r>
      <w:r>
        <w:lastRenderedPageBreak/>
        <w:t>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436F79">
        <w:pPr>
          <w:pStyle w:val="a7"/>
          <w:jc w:val="center"/>
        </w:pPr>
        <w:fldSimple w:instr="PAGE   \* MERGEFORMAT">
          <w:r w:rsidR="0092217D">
            <w:rPr>
              <w:noProof/>
            </w:rPr>
            <w:t>22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13F2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226CDC"/>
    <w:rsid w:val="002424BE"/>
    <w:rsid w:val="002514BD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3F57C0"/>
    <w:rsid w:val="00400ABA"/>
    <w:rsid w:val="004037EE"/>
    <w:rsid w:val="00436F79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265A"/>
    <w:rsid w:val="005F64BE"/>
    <w:rsid w:val="00602D51"/>
    <w:rsid w:val="0066004E"/>
    <w:rsid w:val="0066682C"/>
    <w:rsid w:val="00683D2C"/>
    <w:rsid w:val="006908BD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2217D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F3812"/>
    <w:rsid w:val="00AF726C"/>
    <w:rsid w:val="00B07C18"/>
    <w:rsid w:val="00B13E4F"/>
    <w:rsid w:val="00B212B6"/>
    <w:rsid w:val="00B37660"/>
    <w:rsid w:val="00B40578"/>
    <w:rsid w:val="00B55747"/>
    <w:rsid w:val="00B70C03"/>
    <w:rsid w:val="00B7266B"/>
    <w:rsid w:val="00B80AC3"/>
    <w:rsid w:val="00B93A08"/>
    <w:rsid w:val="00B968D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CF7B07"/>
    <w:rsid w:val="00D21FDD"/>
    <w:rsid w:val="00D26A24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0CB4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94C0E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C7104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2671-996B-49FD-BD95-54E694FE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28</Pages>
  <Words>8637</Words>
  <Characters>49236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72</cp:revision>
  <dcterms:created xsi:type="dcterms:W3CDTF">2016-10-09T16:26:00Z</dcterms:created>
  <dcterms:modified xsi:type="dcterms:W3CDTF">2019-12-15T15:19:00Z</dcterms:modified>
</cp:coreProperties>
</file>