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2B81152F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49324D8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D1848" w:rsidRPr="00FD1848">
        <w:rPr>
          <w:rFonts w:ascii="Times New Roman" w:eastAsia="Times New Roman" w:hAnsi="Times New Roman"/>
          <w:b/>
          <w:sz w:val="28"/>
          <w:szCs w:val="28"/>
        </w:rPr>
        <w:t>Нормативы по защите окружающей среды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3745E126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FE1DD9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0DD4EFBD" w:rsidR="00EF7430" w:rsidRPr="00D3115B" w:rsidRDefault="00FD1848" w:rsidP="006B0057">
      <w:pPr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iCs/>
          <w:sz w:val="28"/>
          <w:szCs w:val="28"/>
        </w:rPr>
        <w:t>Нормативы по защите окружающей среды на автомобильном транспорте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FE1DD9">
        <w:rPr>
          <w:rFonts w:ascii="Times New Roman" w:hAnsi="Times New Roman"/>
          <w:sz w:val="28"/>
          <w:szCs w:val="20"/>
        </w:rPr>
        <w:t>2017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319BA690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4577"/>
      <w:bookmarkStart w:id="2" w:name="_Hlk18228252"/>
      <w:r w:rsidRPr="00FD1848">
        <w:rPr>
          <w:b/>
          <w:sz w:val="28"/>
          <w:szCs w:val="28"/>
        </w:rPr>
        <w:t xml:space="preserve">Цель (цели) </w:t>
      </w:r>
      <w:r w:rsidRPr="00FD1848">
        <w:rPr>
          <w:sz w:val="28"/>
          <w:szCs w:val="28"/>
        </w:rPr>
        <w:t>освоения дисциплины:</w:t>
      </w:r>
    </w:p>
    <w:p w14:paraId="3B51B542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Формирование у студентов системы научных и профессиональных знаний о видах вредного воздействия транспортных и технологических машин нефтегазодобычи на окружающую среду и возможные пути уменьшения этих воздействий, уметь применять в практической деятельности принципы рационального использования природных ресурсов и защиты окружающей среды, умение проводить эксперимент и оценивать результаты полученных измерений.</w:t>
      </w:r>
    </w:p>
    <w:p w14:paraId="48A381B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D1848">
        <w:rPr>
          <w:b/>
          <w:sz w:val="28"/>
          <w:szCs w:val="28"/>
        </w:rPr>
        <w:t xml:space="preserve">Задачи: </w:t>
      </w:r>
    </w:p>
    <w:p w14:paraId="43B5048E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глобальных экологических проблем и современных подходов к защите окружающей среды;</w:t>
      </w:r>
    </w:p>
    <w:p w14:paraId="127C8DB6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воздействий промышленности и транспорта на окружающую природную среду;</w:t>
      </w:r>
    </w:p>
    <w:p w14:paraId="4F55359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формирование представлений о взаимосвязи организмов с окружающей средой и реакциями биологических систем на действие техногенных факторов;</w:t>
      </w:r>
    </w:p>
    <w:p w14:paraId="12F5BDB8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современными проблемами и принципами рационального использования и воспроизводства природных ресурсов, охраны окружающей среды;</w:t>
      </w:r>
    </w:p>
    <w:p w14:paraId="787C09D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основами экологического права и профессиональной ответственности.</w:t>
      </w:r>
    </w:p>
    <w:bookmarkEnd w:id="1"/>
    <w:p w14:paraId="3C5738AB" w14:textId="69565F6C" w:rsidR="006B0057" w:rsidRPr="00FD1848" w:rsidRDefault="006B0057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1B704" w14:textId="59411F06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Знать:</w:t>
      </w:r>
    </w:p>
    <w:p w14:paraId="5AC6D5F0" w14:textId="300AA37F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принципы рационального использования природных ресурсов.</w:t>
      </w:r>
    </w:p>
    <w:p w14:paraId="5C1E1732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основные законодательные и нормативные акты, действующие в сфере охраны окружающей среды на автомобильном транспорте;</w:t>
      </w:r>
    </w:p>
    <w:p w14:paraId="096CC36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содержание мероприятий по снижению воздействия на окружающую среду при производстве транспортных средств, при осуществлении перевозочного процесса, при обслуживании и ремонте.</w:t>
      </w:r>
    </w:p>
    <w:p w14:paraId="190A4EF4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Уметь:</w:t>
      </w:r>
    </w:p>
    <w:p w14:paraId="3B83964C" w14:textId="32501753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выбирать материалы для применения при эксплуатации и ремонте транспортных машин и транспортно-технологических комплексов различного назначения с учетом влияния внешних факторов и требований безопасной и эффективной эксплуатации и стоимости.</w:t>
      </w:r>
    </w:p>
    <w:p w14:paraId="2A502027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машин.</w:t>
      </w:r>
    </w:p>
    <w:p w14:paraId="459BA571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</w:p>
    <w:p w14:paraId="4229A92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Владеть:</w:t>
      </w:r>
    </w:p>
    <w:p w14:paraId="3E58FBF9" w14:textId="7F26B52A" w:rsidR="00B72F99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>-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материалов.</w:t>
      </w:r>
    </w:p>
    <w:p w14:paraId="0B0119A7" w14:textId="01057DF0" w:rsidR="00FD1848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>- передовым научно-техническим опытом в сфере охраны окружающей среды на автомобильном транспорте.</w:t>
      </w:r>
    </w:p>
    <w:p w14:paraId="2F9A2403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Пререквизиты дисциплины: Б.1.Б.10 Химия</w:t>
      </w:r>
    </w:p>
    <w:p w14:paraId="4764638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14BF79B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5EBF" w14:textId="77777777" w:rsidR="006C36F4" w:rsidRDefault="006C36F4" w:rsidP="00847ADE">
      <w:pPr>
        <w:spacing w:after="0" w:line="240" w:lineRule="auto"/>
      </w:pPr>
      <w:r>
        <w:separator/>
      </w:r>
    </w:p>
  </w:endnote>
  <w:endnote w:type="continuationSeparator" w:id="0">
    <w:p w14:paraId="34A8D4CD" w14:textId="77777777" w:rsidR="006C36F4" w:rsidRDefault="006C36F4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AEA68" w14:textId="77777777" w:rsidR="006C36F4" w:rsidRDefault="006C36F4" w:rsidP="00847ADE">
      <w:pPr>
        <w:spacing w:after="0" w:line="240" w:lineRule="auto"/>
      </w:pPr>
      <w:r>
        <w:separator/>
      </w:r>
    </w:p>
  </w:footnote>
  <w:footnote w:type="continuationSeparator" w:id="0">
    <w:p w14:paraId="7E31D07D" w14:textId="77777777" w:rsidR="006C36F4" w:rsidRDefault="006C36F4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F5EBD"/>
    <w:rsid w:val="00505454"/>
    <w:rsid w:val="005219EF"/>
    <w:rsid w:val="0053342B"/>
    <w:rsid w:val="0053688B"/>
    <w:rsid w:val="0059621C"/>
    <w:rsid w:val="005A790F"/>
    <w:rsid w:val="005B302E"/>
    <w:rsid w:val="005D3240"/>
    <w:rsid w:val="005E64AF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36F4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E5367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0DD1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3044-38EA-4589-BD87-0C0310F0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16</cp:revision>
  <cp:lastPrinted>2016-09-07T08:25:00Z</cp:lastPrinted>
  <dcterms:created xsi:type="dcterms:W3CDTF">2019-11-15T07:02:00Z</dcterms:created>
  <dcterms:modified xsi:type="dcterms:W3CDTF">2019-11-15T09:09:00Z</dcterms:modified>
</cp:coreProperties>
</file>