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B367C1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0F" w:rsidRDefault="0091360F" w:rsidP="0091360F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861741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91360F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="009A3C30"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3C30" w:rsidRPr="009A3C30">
        <w:rPr>
          <w:rFonts w:ascii="Times New Roman" w:hAnsi="Times New Roman"/>
          <w:sz w:val="28"/>
          <w:szCs w:val="28"/>
        </w:rPr>
        <w:t xml:space="preserve">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1360F">
        <w:rPr>
          <w:rFonts w:ascii="Times New Roman" w:hAnsi="Times New Roman"/>
          <w:sz w:val="28"/>
          <w:szCs w:val="28"/>
        </w:rPr>
        <w:t>: БГТИ (филиал) ОГУ, 2020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</w:t>
      </w:r>
      <w:r w:rsidR="0091360F">
        <w:rPr>
          <w:rFonts w:ascii="Times New Roman" w:eastAsia="Times New Roman" w:hAnsi="Times New Roman"/>
          <w:sz w:val="28"/>
          <w:szCs w:val="28"/>
        </w:rPr>
        <w:t>___2020</w:t>
      </w:r>
      <w:bookmarkStart w:id="1" w:name="_GoBack"/>
      <w:bookmarkEnd w:id="1"/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 w:rsidR="00861741">
        <w:rPr>
          <w:szCs w:val="28"/>
        </w:rPr>
        <w:t>о</w:t>
      </w:r>
      <w:r w:rsidRPr="009A3C30">
        <w:rPr>
          <w:szCs w:val="28"/>
        </w:rPr>
        <w:t>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представить сегодня современный транспорт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E63">
        <w:rPr>
          <w:rFonts w:ascii="Times New Roman" w:hAnsi="Times New Roman" w:cs="Times New Roman"/>
          <w:sz w:val="28"/>
          <w:szCs w:val="28"/>
        </w:rPr>
        <w:t xml:space="preserve">До начала XVIII в. нефть в основном добывали из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копанок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(яма, глубиной 1,5 – 2 м), которые обсаживали плетнем.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Первые глубинные насосы были применены в Баку в 1876 г., а  первый глубинный штанговый насос – в Грозном в 1895 г. Однако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тартальный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способ длительное время оставался главным. Например, в 1913 г. в России 95 % нефти добыто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желонированием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Вытеснение нефти из скважины сжатым воздухом или газом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былопредложено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тартальным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>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>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 мере углубления скважины канат удлиняют.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Цилиндричность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применяют периодически извлекают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вращателя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использован винтовой механизм Ключ ПБК-1 подвешивается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пневмоцилиндра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невращающиеся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крюкоблоке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) с помощью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штропа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. Ствол установлен в корпусе на подшипниках, этим обеспечивается неподвижное положение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штропа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, корпуса и напорной трубы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E63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бурильных труб вместе со стволом.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Для герметизации имеющихся зазоров между неподвижной и подвижной частями вертлюга служат сальники.</w:t>
      </w:r>
      <w:proofErr w:type="gramEnd"/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E63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внутреннего сгорания и турбопередачи.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  <w:proofErr w:type="gramEnd"/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привышечным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Буровое оборудование и инструмент. В качестве забойных двигателей при бурении используют турбобур, электробур и винтовой двигатель,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устанавливаемые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Системы разработки предусматривают: выделение объектов разработки, последовательность ввода объектов в разработку, темп </w:t>
      </w:r>
      <w:proofErr w:type="spellStart"/>
      <w:r w:rsidRPr="009F4E63">
        <w:rPr>
          <w:sz w:val="28"/>
          <w:szCs w:val="28"/>
        </w:rPr>
        <w:t>разбуривания</w:t>
      </w:r>
      <w:proofErr w:type="spellEnd"/>
      <w:r w:rsidRPr="009F4E63">
        <w:rPr>
          <w:sz w:val="28"/>
          <w:szCs w:val="28"/>
        </w:rPr>
        <w:t xml:space="preserve"> месторождений, методы воздействия на продуктивные </w:t>
      </w:r>
      <w:hyperlink r:id="rId11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 xml:space="preserve"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</w:t>
      </w:r>
      <w:proofErr w:type="gramStart"/>
      <w:r w:rsidRPr="009F4E63">
        <w:rPr>
          <w:sz w:val="28"/>
          <w:szCs w:val="28"/>
        </w:rPr>
        <w:t>мероприятия по </w:t>
      </w:r>
      <w:hyperlink r:id="rId12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3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4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proofErr w:type="spellStart"/>
      <w:r w:rsidR="008068A3">
        <w:fldChar w:fldCharType="begin"/>
      </w:r>
      <w:r w:rsidR="008068A3">
        <w:instrText xml:space="preserve"> HYPERLINK "http://www.mining-enc.ru/n/nefteotdacha/" \o "Нефтеотдача" </w:instrText>
      </w:r>
      <w:r w:rsidR="008068A3">
        <w:fldChar w:fldCharType="separate"/>
      </w:r>
      <w:r w:rsidRPr="009F4E63">
        <w:rPr>
          <w:rStyle w:val="aa"/>
          <w:color w:val="auto"/>
          <w:sz w:val="28"/>
          <w:szCs w:val="28"/>
          <w:u w:val="none"/>
        </w:rPr>
        <w:t>нефтеотдачи</w:t>
      </w:r>
      <w:proofErr w:type="spellEnd"/>
      <w:r w:rsidR="008068A3">
        <w:rPr>
          <w:rStyle w:val="aa"/>
          <w:color w:val="auto"/>
          <w:sz w:val="28"/>
          <w:szCs w:val="28"/>
          <w:u w:val="none"/>
        </w:rPr>
        <w:fldChar w:fldCharType="end"/>
      </w:r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  <w:proofErr w:type="gramEnd"/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 xml:space="preserve"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</w:t>
      </w:r>
      <w:proofErr w:type="gramStart"/>
      <w:r w:rsidRPr="009F4E63">
        <w:rPr>
          <w:sz w:val="28"/>
          <w:szCs w:val="28"/>
        </w:rPr>
        <w:t>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</w:t>
      </w:r>
      <w:proofErr w:type="gramEnd"/>
      <w:r w:rsidRPr="009F4E63">
        <w:rPr>
          <w:sz w:val="28"/>
          <w:szCs w:val="28"/>
        </w:rPr>
        <w:t xml:space="preserve">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proofErr w:type="spellStart"/>
      <w:r w:rsidR="008068A3">
        <w:fldChar w:fldCharType="begin"/>
      </w:r>
      <w:r w:rsidR="008068A3">
        <w:instrText xml:space="preserve"> HYPERLINK "http://www.mining-enc.ru/z/zavodnenie/" \o "Заводнение" </w:instrText>
      </w:r>
      <w:r w:rsidR="008068A3">
        <w:fldChar w:fldCharType="separate"/>
      </w:r>
      <w:r w:rsidRPr="009F4E63">
        <w:rPr>
          <w:rStyle w:val="aa"/>
          <w:color w:val="auto"/>
          <w:sz w:val="28"/>
          <w:szCs w:val="28"/>
          <w:u w:val="none"/>
        </w:rPr>
        <w:t>заводнением</w:t>
      </w:r>
      <w:proofErr w:type="spellEnd"/>
      <w:r w:rsidR="008068A3">
        <w:rPr>
          <w:rStyle w:val="aa"/>
          <w:color w:val="auto"/>
          <w:sz w:val="28"/>
          <w:szCs w:val="28"/>
          <w:u w:val="none"/>
        </w:rPr>
        <w:fldChar w:fldCharType="end"/>
      </w:r>
      <w:r w:rsidRPr="009F4E63">
        <w:rPr>
          <w:sz w:val="28"/>
          <w:szCs w:val="28"/>
        </w:rPr>
        <w:t>. Наиболее широко используется блоково-рядное </w:t>
      </w:r>
      <w:hyperlink r:id="rId21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 xml:space="preserve">внутриконтурное </w:t>
        </w:r>
        <w:proofErr w:type="spellStart"/>
        <w:r w:rsidRPr="009F4E63">
          <w:rPr>
            <w:rStyle w:val="aa"/>
            <w:color w:val="auto"/>
            <w:sz w:val="28"/>
            <w:szCs w:val="28"/>
            <w:u w:val="none"/>
          </w:rPr>
          <w:t>заводнение</w:t>
        </w:r>
        <w:proofErr w:type="spellEnd"/>
      </w:hyperlink>
      <w:r w:rsidRPr="009F4E63">
        <w:rPr>
          <w:sz w:val="28"/>
          <w:szCs w:val="28"/>
        </w:rPr>
        <w:t xml:space="preserve">. Создают также площадные системы </w:t>
      </w:r>
      <w:proofErr w:type="spellStart"/>
      <w:r w:rsidRPr="009F4E63">
        <w:rPr>
          <w:sz w:val="28"/>
          <w:szCs w:val="28"/>
        </w:rPr>
        <w:t>заводнения</w:t>
      </w:r>
      <w:proofErr w:type="spellEnd"/>
      <w:r w:rsidRPr="009F4E63">
        <w:rPr>
          <w:sz w:val="28"/>
          <w:szCs w:val="28"/>
        </w:rPr>
        <w:t xml:space="preserve">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 xml:space="preserve">независимы; при одной и той же системе применяют различные технологии разработки. </w:t>
      </w:r>
      <w:proofErr w:type="gramStart"/>
      <w:r w:rsidRPr="009F4E63">
        <w:rPr>
          <w:sz w:val="28"/>
          <w:szCs w:val="28"/>
        </w:rPr>
        <w:t xml:space="preserve">Основные технологические показатели процесса разработки: текущая и накопленная добыча нефти, воды, жидкости; темп разработки, </w:t>
      </w:r>
      <w:proofErr w:type="spellStart"/>
      <w:r w:rsidRPr="009F4E63">
        <w:rPr>
          <w:sz w:val="28"/>
          <w:szCs w:val="28"/>
        </w:rPr>
        <w:t>обводнённость</w:t>
      </w:r>
      <w:proofErr w:type="spellEnd"/>
      <w:r w:rsidRPr="009F4E63">
        <w:rPr>
          <w:sz w:val="28"/>
          <w:szCs w:val="28"/>
        </w:rPr>
        <w:t xml:space="preserve"> продукции скважин, пластовое давление и температура, а также эти параметры в характерных точках пласта и скважины (на </w:t>
      </w:r>
      <w:hyperlink r:id="rId22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3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</w:t>
      </w:r>
      <w:proofErr w:type="gramEnd"/>
      <w:r w:rsidRPr="009F4E63">
        <w:rPr>
          <w:sz w:val="28"/>
          <w:szCs w:val="28"/>
        </w:rPr>
        <w:t xml:space="preserve">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 при разработке в этом режиме невелик, редко достигает (при хорошей </w:t>
      </w:r>
      <w:hyperlink r:id="rId24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5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 xml:space="preserve"> нефти) величины 0,30-0,35. С применением технологии </w:t>
      </w:r>
      <w:proofErr w:type="spellStart"/>
      <w:r w:rsidRPr="009F4E63">
        <w:rPr>
          <w:sz w:val="28"/>
          <w:szCs w:val="28"/>
        </w:rPr>
        <w:t>заводнения</w:t>
      </w:r>
      <w:proofErr w:type="spellEnd"/>
      <w:r w:rsidRPr="009F4E63">
        <w:rPr>
          <w:sz w:val="28"/>
          <w:szCs w:val="28"/>
        </w:rPr>
        <w:t xml:space="preserve"> конечный коэффициент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</w:t>
      </w:r>
      <w:proofErr w:type="spellStart"/>
      <w:r w:rsidRPr="009F4E63">
        <w:rPr>
          <w:sz w:val="28"/>
          <w:szCs w:val="28"/>
        </w:rPr>
        <w:t>Па•с</w:t>
      </w:r>
      <w:proofErr w:type="spellEnd"/>
      <w:r w:rsidRPr="009F4E63">
        <w:rPr>
          <w:sz w:val="28"/>
          <w:szCs w:val="28"/>
        </w:rPr>
        <w:t>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</w:t>
      </w:r>
      <w:proofErr w:type="spellStart"/>
      <w:r w:rsidRPr="009F4E63">
        <w:rPr>
          <w:sz w:val="28"/>
          <w:szCs w:val="28"/>
        </w:rPr>
        <w:t>Па•с</w:t>
      </w:r>
      <w:proofErr w:type="spellEnd"/>
      <w:r w:rsidRPr="009F4E63">
        <w:rPr>
          <w:sz w:val="28"/>
          <w:szCs w:val="28"/>
        </w:rPr>
        <w:t xml:space="preserve"> — 0,1. </w:t>
      </w:r>
      <w:proofErr w:type="spellStart"/>
      <w:r w:rsidRPr="009F4E63">
        <w:rPr>
          <w:sz w:val="28"/>
          <w:szCs w:val="28"/>
        </w:rPr>
        <w:t>Заводнение</w:t>
      </w:r>
      <w:proofErr w:type="spellEnd"/>
      <w:r w:rsidRPr="009F4E63">
        <w:rPr>
          <w:sz w:val="28"/>
          <w:szCs w:val="28"/>
        </w:rPr>
        <w:t xml:space="preserve"> в этих условиях становится малоэффективным. Для повышения конечной величины коэффициента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6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proofErr w:type="spellStart"/>
      <w:r w:rsidR="008068A3">
        <w:fldChar w:fldCharType="begin"/>
      </w:r>
      <w:r w:rsidR="008068A3">
        <w:instrText xml:space="preserve"> HYPERLINK "http://www.mining-enc.ru/s/smachivaemost-/" \o "Смачиваемость" </w:instrText>
      </w:r>
      <w:r w:rsidR="008068A3">
        <w:fldChar w:fldCharType="separate"/>
      </w:r>
      <w:r w:rsidRPr="009F4E63">
        <w:rPr>
          <w:rStyle w:val="aa"/>
          <w:color w:val="auto"/>
          <w:sz w:val="28"/>
          <w:szCs w:val="28"/>
          <w:u w:val="none"/>
        </w:rPr>
        <w:t>смачиваемость</w:t>
      </w:r>
      <w:proofErr w:type="spellEnd"/>
      <w:r w:rsidR="008068A3">
        <w:rPr>
          <w:rStyle w:val="aa"/>
          <w:color w:val="auto"/>
          <w:sz w:val="28"/>
          <w:szCs w:val="28"/>
          <w:u w:val="none"/>
        </w:rPr>
        <w:fldChar w:fldCharType="end"/>
      </w:r>
      <w:r w:rsidRPr="009F4E63">
        <w:rPr>
          <w:sz w:val="28"/>
          <w:szCs w:val="28"/>
        </w:rPr>
        <w:t xml:space="preserve"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</w:t>
      </w:r>
      <w:proofErr w:type="spellStart"/>
      <w:r w:rsidRPr="009F4E63">
        <w:rPr>
          <w:sz w:val="28"/>
          <w:szCs w:val="28"/>
        </w:rPr>
        <w:t>нефтеотдачу</w:t>
      </w:r>
      <w:proofErr w:type="spellEnd"/>
      <w:r w:rsidRPr="009F4E63">
        <w:rPr>
          <w:sz w:val="28"/>
          <w:szCs w:val="28"/>
        </w:rPr>
        <w:t xml:space="preserve"> на 3-5% (поверхностно-активные вещества), на 10-15% (</w:t>
      </w:r>
      <w:proofErr w:type="gramStart"/>
      <w:r w:rsidRPr="009F4E63">
        <w:rPr>
          <w:sz w:val="28"/>
          <w:szCs w:val="28"/>
        </w:rPr>
        <w:t>полимерное</w:t>
      </w:r>
      <w:proofErr w:type="gramEnd"/>
      <w:r w:rsidRPr="009F4E63">
        <w:rPr>
          <w:sz w:val="28"/>
          <w:szCs w:val="28"/>
        </w:rPr>
        <w:t xml:space="preserve"> и </w:t>
      </w:r>
      <w:proofErr w:type="spellStart"/>
      <w:r w:rsidRPr="009F4E63">
        <w:rPr>
          <w:sz w:val="28"/>
          <w:szCs w:val="28"/>
        </w:rPr>
        <w:t>мицеллярное</w:t>
      </w:r>
      <w:proofErr w:type="spellEnd"/>
      <w:r w:rsidRPr="009F4E63">
        <w:rPr>
          <w:sz w:val="28"/>
          <w:szCs w:val="28"/>
        </w:rPr>
        <w:t xml:space="preserve"> </w:t>
      </w:r>
      <w:proofErr w:type="spellStart"/>
      <w:r w:rsidRPr="009F4E63">
        <w:rPr>
          <w:sz w:val="28"/>
          <w:szCs w:val="28"/>
        </w:rPr>
        <w:t>заводнение</w:t>
      </w:r>
      <w:proofErr w:type="spellEnd"/>
      <w:r w:rsidRPr="009F4E63">
        <w:rPr>
          <w:sz w:val="28"/>
          <w:szCs w:val="28"/>
        </w:rPr>
        <w:t xml:space="preserve">), на 15-20% (углекислота). Применение методов вытеснения нефти растворителями теоретически позволяет достичь полной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. </w:t>
      </w:r>
      <w:proofErr w:type="gramStart"/>
      <w:r w:rsidRPr="009F4E63">
        <w:rPr>
          <w:sz w:val="28"/>
          <w:szCs w:val="28"/>
        </w:rPr>
        <w:t>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7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 xml:space="preserve"> средой коллекторов, изменение их концентрации, разделение композиций веществ (мицеллярно-полимерное </w:t>
      </w:r>
      <w:proofErr w:type="spellStart"/>
      <w:r w:rsidRPr="009F4E63">
        <w:rPr>
          <w:sz w:val="28"/>
          <w:szCs w:val="28"/>
        </w:rPr>
        <w:t>заводнение</w:t>
      </w:r>
      <w:proofErr w:type="spellEnd"/>
      <w:r w:rsidRPr="009F4E63">
        <w:rPr>
          <w:sz w:val="28"/>
          <w:szCs w:val="28"/>
        </w:rPr>
        <w:t>), </w:t>
      </w:r>
      <w:hyperlink r:id="rId28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29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</w:t>
      </w:r>
      <w:proofErr w:type="spellStart"/>
      <w:r w:rsidRPr="009F4E63">
        <w:rPr>
          <w:sz w:val="28"/>
          <w:szCs w:val="28"/>
        </w:rPr>
        <w:t>термощелочное</w:t>
      </w:r>
      <w:proofErr w:type="spellEnd"/>
      <w:proofErr w:type="gramEnd"/>
      <w:r w:rsidRPr="009F4E63">
        <w:rPr>
          <w:sz w:val="28"/>
          <w:szCs w:val="28"/>
        </w:rPr>
        <w:t xml:space="preserve">, </w:t>
      </w:r>
      <w:proofErr w:type="spellStart"/>
      <w:r w:rsidRPr="009F4E63">
        <w:rPr>
          <w:sz w:val="28"/>
          <w:szCs w:val="28"/>
        </w:rPr>
        <w:t>термополимерное</w:t>
      </w:r>
      <w:proofErr w:type="spellEnd"/>
      <w:r w:rsidRPr="009F4E63">
        <w:rPr>
          <w:sz w:val="28"/>
          <w:szCs w:val="28"/>
        </w:rPr>
        <w:t xml:space="preserve"> </w:t>
      </w:r>
      <w:proofErr w:type="spellStart"/>
      <w:r w:rsidRPr="009F4E63">
        <w:rPr>
          <w:sz w:val="28"/>
          <w:szCs w:val="28"/>
        </w:rPr>
        <w:t>заводнение</w:t>
      </w:r>
      <w:proofErr w:type="spellEnd"/>
      <w:r w:rsidRPr="009F4E63">
        <w:rPr>
          <w:sz w:val="28"/>
          <w:szCs w:val="28"/>
        </w:rPr>
        <w:t xml:space="preserve">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 xml:space="preserve">реакций и др. Исследуются возможности повышения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 пластов путём воздействия на них биохимическими методами, основанными на вводе в </w:t>
      </w:r>
      <w:hyperlink r:id="rId30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1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>. Методы регулирования разработки нефтяных месторождений: увеличение производительности скважин за счёт снижения </w:t>
      </w:r>
      <w:hyperlink r:id="rId32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 xml:space="preserve"> (перевод на механизированный способ эксплуатации, установление форсированного или оптимального режима работы скважин); отключение </w:t>
      </w:r>
      <w:proofErr w:type="spellStart"/>
      <w:r w:rsidRPr="009F4E63">
        <w:rPr>
          <w:sz w:val="28"/>
          <w:szCs w:val="28"/>
        </w:rPr>
        <w:t>высокообводнённых</w:t>
      </w:r>
      <w:proofErr w:type="spellEnd"/>
      <w:r w:rsidRPr="009F4E63">
        <w:rPr>
          <w:sz w:val="28"/>
          <w:szCs w:val="28"/>
        </w:rPr>
        <w:t xml:space="preserve"> скважин; повышение давления нагнетания; </w:t>
      </w:r>
      <w:hyperlink r:id="rId33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4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 xml:space="preserve"> с других горизонтов; перенос фронта нагнетания; использование очагового и избирательного </w:t>
      </w:r>
      <w:proofErr w:type="spellStart"/>
      <w:r w:rsidRPr="009F4E63">
        <w:rPr>
          <w:sz w:val="28"/>
          <w:szCs w:val="28"/>
        </w:rPr>
        <w:t>заводнения</w:t>
      </w:r>
      <w:proofErr w:type="spellEnd"/>
      <w:r w:rsidRPr="009F4E63">
        <w:rPr>
          <w:sz w:val="28"/>
          <w:szCs w:val="28"/>
        </w:rPr>
        <w:t>; проведение изоляционных работ; выравнивание профиля притока или приёмистости скважины; воздействие на </w:t>
      </w:r>
      <w:proofErr w:type="spellStart"/>
      <w:r w:rsidR="008068A3">
        <w:fldChar w:fldCharType="begin"/>
      </w:r>
      <w:r w:rsidR="008068A3">
        <w:instrText xml:space="preserve"> HYPERLINK "http://www.mining</w:instrText>
      </w:r>
      <w:r w:rsidR="008068A3">
        <w:instrText xml:space="preserve">-enc.ru/p/prizabojnaya-zona/" \o "Призабойная зона" </w:instrText>
      </w:r>
      <w:r w:rsidR="008068A3">
        <w:fldChar w:fldCharType="separate"/>
      </w:r>
      <w:r w:rsidRPr="009F4E63">
        <w:rPr>
          <w:rStyle w:val="aa"/>
          <w:color w:val="auto"/>
          <w:sz w:val="28"/>
          <w:szCs w:val="28"/>
          <w:u w:val="none"/>
        </w:rPr>
        <w:t>призабойную</w:t>
      </w:r>
      <w:proofErr w:type="spellEnd"/>
      <w:r w:rsidRPr="009F4E63">
        <w:rPr>
          <w:rStyle w:val="aa"/>
          <w:color w:val="auto"/>
          <w:sz w:val="28"/>
          <w:szCs w:val="28"/>
          <w:u w:val="none"/>
        </w:rPr>
        <w:t xml:space="preserve"> зону</w:t>
      </w:r>
      <w:r w:rsidR="008068A3">
        <w:rPr>
          <w:rStyle w:val="aa"/>
          <w:color w:val="auto"/>
          <w:sz w:val="28"/>
          <w:szCs w:val="28"/>
          <w:u w:val="none"/>
        </w:rPr>
        <w:fldChar w:fldCharType="end"/>
      </w:r>
      <w:r w:rsidRPr="009F4E63">
        <w:rPr>
          <w:sz w:val="28"/>
          <w:szCs w:val="28"/>
        </w:rPr>
        <w:t> для интенсификации притока (</w:t>
      </w:r>
      <w:proofErr w:type="spellStart"/>
      <w:r w:rsidRPr="009F4E63">
        <w:rPr>
          <w:sz w:val="28"/>
          <w:szCs w:val="28"/>
        </w:rPr>
        <w:t>гидроразрыв</w:t>
      </w:r>
      <w:proofErr w:type="spellEnd"/>
      <w:r w:rsidRPr="009F4E63">
        <w:rPr>
          <w:sz w:val="28"/>
          <w:szCs w:val="28"/>
        </w:rPr>
        <w:t xml:space="preserve"> пласта, </w:t>
      </w:r>
      <w:hyperlink r:id="rId35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 xml:space="preserve">, кислотная обработка); применение физико-химических методов увеличения </w:t>
      </w:r>
      <w:proofErr w:type="spellStart"/>
      <w:r w:rsidRPr="009F4E63">
        <w:rPr>
          <w:sz w:val="28"/>
          <w:szCs w:val="28"/>
        </w:rPr>
        <w:t>нефтеотдачи</w:t>
      </w:r>
      <w:proofErr w:type="spellEnd"/>
      <w:r w:rsidRPr="009F4E63">
        <w:rPr>
          <w:sz w:val="28"/>
          <w:szCs w:val="28"/>
        </w:rPr>
        <w:t xml:space="preserve">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6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ст вскр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манифольдом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затрубном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затрубному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Подъемная труба имеет меньшую длину по сравнению с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воздушной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>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однорядном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</w:t>
      </w:r>
      <w:proofErr w:type="gramStart"/>
      <w:r w:rsidRPr="009F4E63"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 w:rsidRPr="009F4E63">
        <w:rPr>
          <w:rFonts w:ascii="Times New Roman" w:hAnsi="Times New Roman" w:cs="Times New Roman"/>
          <w:sz w:val="28"/>
          <w:szCs w:val="28"/>
        </w:rPr>
        <w:t xml:space="preserve"> на устье скважины. Арматуру до установки на скважину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опрессовывают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в сборном виде на пробное давление, указанное в паспорте. После установки на устье скважины ее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опрессовывают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затрубном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добывных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добывных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Капитальный ремонт скважин — это комплекс работ по восстановлению работоспособности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мывка ее растворителями, растворами ПАВ, укрепление слабосцементированных разрушающихся пород, это работы по интенсификации добычи газа путем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гидроразрыва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ботке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газонасыщенных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К капитальному ремонту также относятся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зарезка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пакеров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Ремонт скважин, оборудованных штанговыми скважинными насосами, в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Ремонт скважин, оборудованных УЭЦН, в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Консервация и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расконсервация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Ремонт скважин, связанный с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негерметичностью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Капитальный ремонт скважин - комплекс работ, связанный с восстановлением работоспособности обсадных колонн, цементного кольца,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Ремонтно-изоляционные работы, в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отключение отдельных пластов, исправление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негерметичности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Крепление слабосцементированных пород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Зарезка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Увеличение и восстановление производительности скважин, в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>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виброобработки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, термообработки, обработки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химреагентами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веществами) </w:t>
      </w:r>
      <w:proofErr w:type="spellStart"/>
      <w:r w:rsidRPr="009F4E63">
        <w:rPr>
          <w:rFonts w:ascii="Times New Roman" w:hAnsi="Times New Roman" w:cs="Times New Roman"/>
          <w:sz w:val="28"/>
          <w:szCs w:val="28"/>
        </w:rPr>
        <w:t>призабойной</w:t>
      </w:r>
      <w:proofErr w:type="spellEnd"/>
      <w:r w:rsidRPr="009F4E63">
        <w:rPr>
          <w:rFonts w:ascii="Times New Roman" w:hAnsi="Times New Roman" w:cs="Times New Roman"/>
          <w:sz w:val="28"/>
          <w:szCs w:val="28"/>
        </w:rPr>
        <w:t xml:space="preserve">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61741" w:rsidRDefault="00E12DD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861741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861741"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861741" w:rsidRPr="00545ABA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861741" w:rsidP="0086174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545ABA">
        <w:rPr>
          <w:color w:val="000000"/>
          <w:sz w:val="28"/>
          <w:szCs w:val="28"/>
        </w:rPr>
        <w:t>тестируемых</w:t>
      </w:r>
      <w:proofErr w:type="gramEnd"/>
      <w:r w:rsidR="000E580E"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A3" w:rsidRDefault="008068A3" w:rsidP="00382D68">
      <w:pPr>
        <w:spacing w:after="0" w:line="240" w:lineRule="auto"/>
      </w:pPr>
      <w:r>
        <w:separator/>
      </w:r>
    </w:p>
  </w:endnote>
  <w:endnote w:type="continuationSeparator" w:id="0">
    <w:p w:rsidR="008068A3" w:rsidRDefault="008068A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0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A3" w:rsidRDefault="008068A3" w:rsidP="00382D68">
      <w:pPr>
        <w:spacing w:after="0" w:line="240" w:lineRule="auto"/>
      </w:pPr>
      <w:r>
        <w:separator/>
      </w:r>
    </w:p>
  </w:footnote>
  <w:footnote w:type="continuationSeparator" w:id="0">
    <w:p w:rsidR="008068A3" w:rsidRDefault="008068A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544C0"/>
    <w:rsid w:val="00481689"/>
    <w:rsid w:val="004A15B0"/>
    <w:rsid w:val="004D2F1B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5DC3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68A3"/>
    <w:rsid w:val="0081626E"/>
    <w:rsid w:val="00824388"/>
    <w:rsid w:val="00835DE9"/>
    <w:rsid w:val="00845E8E"/>
    <w:rsid w:val="00861741"/>
    <w:rsid w:val="00861F88"/>
    <w:rsid w:val="00863F32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1360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C1A19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4530D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8489D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ing-enc.ru/d/debit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tesnenie-nefti/" TargetMode="External"/><Relationship Id="rId21" Type="http://schemas.openxmlformats.org/officeDocument/2006/relationships/hyperlink" Target="http://www.mining-enc.ru/v/vnutrikonturnoe-zavodnenie/" TargetMode="External"/><Relationship Id="rId34" Type="http://schemas.openxmlformats.org/officeDocument/2006/relationships/hyperlink" Target="http://www.mining-enc.ru/v/vozvrat-skvazh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ing-enc.ru/o/oxrana-okruzhayuschej-sredy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v/vyazkost/" TargetMode="External"/><Relationship Id="rId33" Type="http://schemas.openxmlformats.org/officeDocument/2006/relationships/hyperlink" Target="http://www.mining-enc.ru/b/bureni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u/uglevodorod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ing-enc.ru/p/plast/" TargetMode="External"/><Relationship Id="rId24" Type="http://schemas.openxmlformats.org/officeDocument/2006/relationships/hyperlink" Target="http://www.mining-enc.ru/p/pronicaemost/" TargetMode="External"/><Relationship Id="rId32" Type="http://schemas.openxmlformats.org/officeDocument/2006/relationships/hyperlink" Target="http://www.mining-enc.ru/z/zabojnoe-davlenie2009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g/gazovyj-faktor/" TargetMode="External"/><Relationship Id="rId28" Type="http://schemas.openxmlformats.org/officeDocument/2006/relationships/hyperlink" Target="http://www.mining-enc.ru/e1/ekstrakciya-/" TargetMode="External"/><Relationship Id="rId36" Type="http://schemas.openxmlformats.org/officeDocument/2006/relationships/hyperlink" Target="http://www.mining-enc.ru/sh/shaxtnaya-razrabotka-neftyanyx-mestorozhdenij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t/tekuchest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ining-enc.ru/b/burovaya-skvazhina/" TargetMode="External"/><Relationship Id="rId22" Type="http://schemas.openxmlformats.org/officeDocument/2006/relationships/hyperlink" Target="http://www.mining-enc.ru/z/zaboj/" TargetMode="External"/><Relationship Id="rId27" Type="http://schemas.openxmlformats.org/officeDocument/2006/relationships/hyperlink" Target="http://www.mining-enc.ru/p/poristost/" TargetMode="External"/><Relationship Id="rId30" Type="http://schemas.openxmlformats.org/officeDocument/2006/relationships/hyperlink" Target="http://www.mining-enc.ru/n/neftyanoj-plast/" TargetMode="External"/><Relationship Id="rId35" Type="http://schemas.openxmlformats.org/officeDocument/2006/relationships/hyperlink" Target="http://www.mining-enc.ru/g/gidropeskostrujnaya-perforaciya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6970-78E5-4B66-BD10-5390F474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6286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34</cp:revision>
  <cp:lastPrinted>2019-03-03T07:50:00Z</cp:lastPrinted>
  <dcterms:created xsi:type="dcterms:W3CDTF">2017-09-05T11:04:00Z</dcterms:created>
  <dcterms:modified xsi:type="dcterms:W3CDTF">2020-01-21T07:57:00Z</dcterms:modified>
</cp:coreProperties>
</file>