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20</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протокол № 6 от "10" января 2020 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9"/>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firstRow="1" w:lastRow="0" w:firstColumn="1" w:lastColumn="0" w:noHBand="0" w:noVBand="1"/>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firstRow="1" w:lastRow="0" w:firstColumn="1" w:lastColumn="0" w:noHBand="0" w:noVBand="1"/>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firstRow="1" w:lastRow="0" w:firstColumn="1" w:lastColumn="0" w:noHBand="0" w:noVBand="1"/>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2"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firstRow="1" w:lastRow="0" w:firstColumn="1" w:lastColumn="0" w:noHBand="0" w:noVBand="1"/>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3" w:name="_Toc466136108"/>
      <w:bookmarkEnd w:id="2"/>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4"/>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0F" w:rsidRDefault="0051520F" w:rsidP="005A0E63">
      <w:r>
        <w:separator/>
      </w:r>
    </w:p>
  </w:endnote>
  <w:endnote w:type="continuationSeparator" w:id="0">
    <w:p w:rsidR="0051520F" w:rsidRDefault="0051520F"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252"/>
      <w:docPartObj>
        <w:docPartGallery w:val="Page Numbers (Bottom of Page)"/>
        <w:docPartUnique/>
      </w:docPartObj>
    </w:sdtPr>
    <w:sdtEndPr/>
    <w:sdtContent>
      <w:p w:rsidR="003510A6" w:rsidRDefault="003024BA">
        <w:pPr>
          <w:pStyle w:val="ac"/>
          <w:jc w:val="right"/>
        </w:pPr>
        <w:r>
          <w:fldChar w:fldCharType="begin"/>
        </w:r>
        <w:r w:rsidR="002B66FC">
          <w:instrText xml:space="preserve"> PAGE   \* MERGEFORMAT </w:instrText>
        </w:r>
        <w:r>
          <w:fldChar w:fldCharType="separate"/>
        </w:r>
        <w:r w:rsidR="005A207B">
          <w:rPr>
            <w:noProof/>
          </w:rPr>
          <w:t>34</w:t>
        </w:r>
        <w:r>
          <w:rPr>
            <w:noProof/>
          </w:rPr>
          <w:fldChar w:fldCharType="end"/>
        </w:r>
      </w:p>
    </w:sdtContent>
  </w:sdt>
  <w:p w:rsidR="003510A6" w:rsidRDefault="003510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0F" w:rsidRDefault="0051520F" w:rsidP="005A0E63">
      <w:r>
        <w:separator/>
      </w:r>
    </w:p>
  </w:footnote>
  <w:footnote w:type="continuationSeparator" w:id="0">
    <w:p w:rsidR="0051520F" w:rsidRDefault="0051520F"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A6458"/>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65266"/>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EACB9-93F6-443C-820F-884E7600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22223</Words>
  <Characters>126675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2019-11-26T15:51:00Z</cp:lastPrinted>
  <dcterms:created xsi:type="dcterms:W3CDTF">2019-12-01T18:25:00Z</dcterms:created>
  <dcterms:modified xsi:type="dcterms:W3CDTF">2020-01-27T04:33:00Z</dcterms:modified>
</cp:coreProperties>
</file>