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D3" w:rsidRPr="000932E7" w:rsidRDefault="00FF18D3" w:rsidP="00FF18D3">
      <w:pPr>
        <w:pStyle w:val="ReportHead"/>
        <w:suppressAutoHyphens/>
        <w:rPr>
          <w:szCs w:val="28"/>
        </w:rPr>
      </w:pPr>
      <w:r w:rsidRPr="000932E7">
        <w:rPr>
          <w:szCs w:val="28"/>
        </w:rPr>
        <w:t>Минобрнауки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r w:rsidRPr="000932E7">
        <w:rPr>
          <w:sz w:val="28"/>
          <w:szCs w:val="28"/>
        </w:rPr>
        <w:t>Бузулукский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Кафедра уголовного права и уголовного процесса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FF18D3" w:rsidRPr="000932E7" w:rsidRDefault="00CA6692" w:rsidP="00FF18D3">
      <w:pPr>
        <w:pStyle w:val="ReportHead"/>
        <w:suppressAutoHyphens/>
        <w:rPr>
          <w:i/>
          <w:szCs w:val="28"/>
          <w:u w:val="single"/>
        </w:rPr>
      </w:pPr>
      <w:r w:rsidRPr="000932E7">
        <w:rPr>
          <w:i/>
          <w:szCs w:val="28"/>
          <w:u w:val="single"/>
        </w:rPr>
        <w:t>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201</w:t>
      </w:r>
      <w:r w:rsidR="00B366EA">
        <w:rPr>
          <w:szCs w:val="28"/>
        </w:rPr>
        <w:t>7</w:t>
      </w:r>
    </w:p>
    <w:p w:rsidR="00FF18D3" w:rsidRPr="000932E7" w:rsidRDefault="000932E7" w:rsidP="00FF18D3">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FF18D3" w:rsidP="00FF18D3">
      <w:pPr>
        <w:pStyle w:val="ReportHead"/>
        <w:tabs>
          <w:tab w:val="left" w:pos="10432"/>
        </w:tabs>
        <w:suppressAutoHyphens/>
        <w:jc w:val="left"/>
        <w:rPr>
          <w:szCs w:val="28"/>
          <w:u w:val="single"/>
        </w:rPr>
      </w:pPr>
      <w:r w:rsidRPr="000932E7">
        <w:rPr>
          <w:szCs w:val="28"/>
          <w:u w:val="single"/>
        </w:rPr>
        <w:t>уголовного права и уголовного процесса</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F18D3" w:rsidRPr="000932E7" w:rsidRDefault="00FF18D3" w:rsidP="00FF18D3">
      <w:pPr>
        <w:tabs>
          <w:tab w:val="left" w:pos="10432"/>
        </w:tabs>
        <w:suppressAutoHyphens/>
        <w:rPr>
          <w:rFonts w:eastAsia="Calibri"/>
          <w:sz w:val="28"/>
          <w:szCs w:val="28"/>
        </w:rPr>
      </w:pPr>
      <w:r w:rsidRPr="000932E7">
        <w:rPr>
          <w:rFonts w:eastAsia="Calibri"/>
          <w:sz w:val="28"/>
          <w:szCs w:val="28"/>
        </w:rPr>
        <w:t>протокол № 9 от "13" марта 2017 г.</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0932E7" w:rsidRPr="00B6636B" w:rsidRDefault="000932E7" w:rsidP="000932E7">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Планируемые результаты обучения по дисциплине,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 xml:space="preserve">Блок А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 А</w:t>
      </w:r>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вступление в законную силу решения суда о признании адвоката недееспособным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1.10.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делать публичные заявления о доказанности вины доверителя, независимо от того отрицает ли последний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г) допускается к повторной процедуре сдачи квалификационного экзамена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вступление в законную силу решения суда о признании адвоката недееспособным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1.28. Кто имеет право осуществлять контроль за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 </w:t>
      </w:r>
      <w:r w:rsidRPr="00783017">
        <w:rPr>
          <w:color w:val="000000"/>
          <w:spacing w:val="4"/>
          <w:sz w:val="28"/>
          <w:szCs w:val="28"/>
        </w:rPr>
        <w:t>:</w:t>
      </w:r>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ся на:</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Совет адвокатской палаты избирает из своего состава президента адвокатской палаты сроком на:</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в) в уведомительно-разрешительном.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г) управомочивающим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неблагоприятности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2"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3"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1.8 Адвокат Каюмов в гражданском процессе установил, что на противоположной стороне интересы ответчика представляет адвокат Шейкин,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При этом в предварительной беседе Шейкин сказал Каюмову,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Каюмова с клиентом, Шейкин узнал от Каюмова, какие доказательства Каюмов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Встретившись в процессе с Шейкиным, Каюмов в перерыве предъявил ему претензии по поводу неэтичного поведения. В ответ на что Шейкин попросил Каюмова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Шейкин не смог отказаться, именно поэтому он не стал проводить дело на стороне истца, попросив об этом Каюмова,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Дворжецкому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Дворжецкого.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Семилетниковой для участия в ознакомлении с материалами дела. Согласно сообщению адвокатской палаты, адвокат Семилетникова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Ольшевским – партнером этого же адвокатского бюро. К исковому заявлению прилагалась нотариально удостоверенная доверенность, выданная Сониным Ольшевскому, с полномочиями на подписание искового заявления и предъявление его в суд. Адвокат пояснил судье, что составлявший исковое заявление Ольшевский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Вискову 2 000 000 руб. По истечении назначенного срока Висков деньги не вернул. Серов обратился в суд с иском о взыскании с Вискова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В юридическую консультацию обратился оленевод Белдыев, сообщивший, что его олени, находившиеся в общем, стаде по договору Белдыева с ИП Иванов, по вине сотрудника ИП Иванов погибли от переохлаждения и недоедания. Белдыев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В гражданском процессе о выселении ответчика Гуреева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непроживании в спорной квартире Гуреевой,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Оцените действия адвоката и доводы Гуреевой.</w:t>
      </w:r>
    </w:p>
    <w:bookmarkEnd w:id="3"/>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Адвокат Мирутов,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ля Мирутова. Однако адвокат про</w:t>
      </w:r>
      <w:r w:rsidRPr="00894FD2">
        <w:rPr>
          <w:sz w:val="28"/>
          <w:szCs w:val="28"/>
        </w:rPr>
        <w:t>игравшей стороны Степин обжаловал судебное решение суда на том основании, что Мирутов,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Мирутов?</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 xml:space="preserve">Вопросы к </w:t>
      </w:r>
      <w:r w:rsidR="009176B5" w:rsidRPr="000932E7">
        <w:rPr>
          <w:b/>
          <w:sz w:val="28"/>
          <w:szCs w:val="28"/>
        </w:rPr>
        <w:t xml:space="preserve">дифференцированному </w:t>
      </w:r>
      <w:r w:rsidRPr="000932E7">
        <w:rPr>
          <w:b/>
          <w:sz w:val="28"/>
          <w:szCs w:val="28"/>
        </w:rPr>
        <w:t>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4" w:name="_Toc466136109"/>
      <w:bookmarkEnd w:id="2"/>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293"/>
        <w:gridCol w:w="4972"/>
      </w:tblGrid>
      <w:tr w:rsidR="0057381E" w:rsidRPr="0057381E" w:rsidTr="0076666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4-балльная</w:t>
            </w:r>
          </w:p>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шкала</w:t>
            </w:r>
          </w:p>
        </w:tc>
        <w:tc>
          <w:tcPr>
            <w:tcW w:w="16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b/>
                <w:sz w:val="28"/>
                <w:szCs w:val="28"/>
              </w:rPr>
            </w:pPr>
            <w:r w:rsidRPr="0057381E">
              <w:rPr>
                <w:rStyle w:val="aff"/>
                <w:sz w:val="28"/>
                <w:szCs w:val="28"/>
              </w:rPr>
              <w:t>Критерии</w:t>
            </w:r>
          </w:p>
        </w:tc>
      </w:tr>
      <w:tr w:rsidR="0057381E" w:rsidRPr="0057381E" w:rsidTr="0076666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Полнота выполнения тестовых заданий.</w:t>
            </w:r>
          </w:p>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3"/>
              </w:numPr>
              <w:shd w:val="clear" w:color="auto" w:fill="auto"/>
              <w:tabs>
                <w:tab w:val="left" w:pos="448"/>
                <w:tab w:val="left" w:pos="475"/>
              </w:tabs>
              <w:spacing w:line="240" w:lineRule="auto"/>
              <w:ind w:left="23" w:firstLine="0"/>
              <w:jc w:val="left"/>
              <w:rPr>
                <w:sz w:val="28"/>
                <w:szCs w:val="28"/>
              </w:rPr>
            </w:pPr>
            <w:r w:rsidRPr="0057381E">
              <w:rPr>
                <w:rStyle w:val="36"/>
                <w:u w:val="none"/>
              </w:rPr>
              <w:t>Правильность ответов на вопросы.</w:t>
            </w:r>
          </w:p>
          <w:p w:rsidR="0057381E" w:rsidRPr="0057381E" w:rsidRDefault="0057381E" w:rsidP="00E13160">
            <w:pPr>
              <w:pStyle w:val="61"/>
              <w:numPr>
                <w:ilvl w:val="0"/>
                <w:numId w:val="3"/>
              </w:numPr>
              <w:shd w:val="clear" w:color="auto" w:fill="auto"/>
              <w:tabs>
                <w:tab w:val="left" w:pos="448"/>
              </w:tabs>
              <w:spacing w:line="240" w:lineRule="auto"/>
              <w:ind w:left="23" w:firstLine="0"/>
              <w:jc w:val="left"/>
              <w:rPr>
                <w:sz w:val="28"/>
                <w:szCs w:val="28"/>
              </w:rPr>
            </w:pPr>
            <w:r w:rsidRPr="0057381E">
              <w:rPr>
                <w:rStyle w:val="36"/>
                <w:u w:val="none"/>
              </w:rPr>
              <w:t>Самостоятельность тестирования.</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более 86 % заданий предложенного теста в течении установленного времени.</w:t>
            </w:r>
          </w:p>
        </w:tc>
      </w:tr>
      <w:tr w:rsidR="0057381E" w:rsidRPr="0057381E" w:rsidTr="00766665">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от 71 до 85  % заданий предложенного теста в течении установленного времени.</w:t>
            </w:r>
          </w:p>
        </w:tc>
      </w:tr>
      <w:tr w:rsidR="0057381E" w:rsidRPr="0057381E" w:rsidTr="00766665">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от 55 до 70  % заданий предложенного теста в течении установленного времени.</w:t>
            </w:r>
          </w:p>
        </w:tc>
      </w:tr>
      <w:tr w:rsidR="0057381E" w:rsidRPr="0057381E" w:rsidTr="0076666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610"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68" w:firstLine="0"/>
              <w:jc w:val="left"/>
              <w:rPr>
                <w:sz w:val="28"/>
                <w:szCs w:val="28"/>
              </w:rPr>
            </w:pPr>
            <w:r w:rsidRPr="0057381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57381E" w:rsidRPr="0057381E" w:rsidRDefault="0057381E" w:rsidP="0057381E">
      <w:pPr>
        <w:jc w:val="both"/>
        <w:rPr>
          <w:sz w:val="28"/>
          <w:szCs w:val="28"/>
        </w:rPr>
      </w:pPr>
      <w:r w:rsidRPr="0057381E">
        <w:rPr>
          <w:b/>
          <w:sz w:val="28"/>
          <w:szCs w:val="28"/>
        </w:rPr>
        <w:lastRenderedPageBreak/>
        <w:t xml:space="preserve">    </w:t>
      </w:r>
      <w:r w:rsidRPr="0057381E">
        <w:rPr>
          <w:rStyle w:val="aff0"/>
          <w:rFonts w:eastAsia="Calibri"/>
          <w:sz w:val="28"/>
          <w:szCs w:val="28"/>
          <w:u w:val="none"/>
        </w:rPr>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2C05A8">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юися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r w:rsidR="002B48DD" w:rsidRPr="002C05A8">
              <w:rPr>
                <w:color w:val="000000"/>
                <w:sz w:val="28"/>
                <w:szCs w:val="28"/>
              </w:rPr>
              <w:lastRenderedPageBreak/>
              <w:t>цивилистические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bookmarkStart w:id="5" w:name="_GoBack"/>
      <w:bookmarkEnd w:id="5"/>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2C05A8" w:rsidRPr="00474766" w:rsidTr="0088459B">
        <w:trPr>
          <w:trHeight w:val="669"/>
        </w:trPr>
        <w:tc>
          <w:tcPr>
            <w:tcW w:w="1995"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2C05A8" w:rsidRPr="00474766" w:rsidRDefault="002C05A8" w:rsidP="0088459B">
            <w:pPr>
              <w:widowControl w:val="0"/>
              <w:jc w:val="center"/>
              <w:rPr>
                <w:sz w:val="28"/>
                <w:szCs w:val="28"/>
                <w:lang w:eastAsia="ru-RU" w:bidi="ru-RU"/>
              </w:rPr>
            </w:pPr>
            <w:r w:rsidRPr="00474766">
              <w:rPr>
                <w:sz w:val="28"/>
                <w:szCs w:val="28"/>
                <w:lang w:eastAsia="ru-RU" w:bidi="ru-RU"/>
              </w:rPr>
              <w:t>Критерии</w:t>
            </w:r>
          </w:p>
        </w:tc>
      </w:tr>
      <w:tr w:rsidR="002C05A8" w:rsidRPr="00474766" w:rsidTr="0088459B">
        <w:trPr>
          <w:trHeight w:val="3121"/>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2C05A8" w:rsidRPr="00474766" w:rsidRDefault="002C05A8" w:rsidP="00E1316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2C05A8" w:rsidRPr="00474766" w:rsidRDefault="002C05A8" w:rsidP="00E13160">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2C05A8" w:rsidRPr="00474766" w:rsidRDefault="002C05A8" w:rsidP="0088459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2C05A8" w:rsidRPr="00474766" w:rsidTr="0088459B">
        <w:trPr>
          <w:trHeight w:val="2356"/>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«Хорошо»</w:t>
            </w:r>
          </w:p>
          <w:p w:rsidR="002C05A8" w:rsidRPr="00474766" w:rsidRDefault="002C05A8" w:rsidP="0088459B">
            <w:pPr>
              <w:widowControl w:val="0"/>
              <w:jc w:val="both"/>
              <w:rPr>
                <w:sz w:val="28"/>
                <w:szCs w:val="28"/>
                <w:lang w:eastAsia="ru-RU" w:bidi="ru-RU"/>
              </w:rPr>
            </w:pPr>
          </w:p>
        </w:tc>
        <w:tc>
          <w:tcPr>
            <w:tcW w:w="3544" w:type="dxa"/>
            <w:vMerge/>
            <w:shd w:val="clear" w:color="auto" w:fill="FFFFFF"/>
          </w:tcPr>
          <w:p w:rsidR="002C05A8" w:rsidRPr="00474766" w:rsidRDefault="002C05A8" w:rsidP="0088459B">
            <w:pPr>
              <w:ind w:right="132"/>
              <w:jc w:val="both"/>
              <w:rPr>
                <w:sz w:val="28"/>
                <w:szCs w:val="28"/>
              </w:rPr>
            </w:pPr>
          </w:p>
        </w:tc>
        <w:tc>
          <w:tcPr>
            <w:tcW w:w="4677" w:type="dxa"/>
            <w:shd w:val="clear" w:color="auto" w:fill="FFFFFF"/>
          </w:tcPr>
          <w:p w:rsidR="002C05A8" w:rsidRPr="00474766" w:rsidRDefault="002C05A8" w:rsidP="0088459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w:t>
            </w:r>
            <w:r>
              <w:rPr>
                <w:sz w:val="28"/>
                <w:szCs w:val="28"/>
                <w:lang w:eastAsia="ru-RU" w:bidi="ru-RU"/>
              </w:rPr>
              <w:t xml:space="preserve">ситуационной </w:t>
            </w:r>
            <w:r w:rsidRPr="00474766">
              <w:rPr>
                <w:sz w:val="28"/>
                <w:szCs w:val="28"/>
                <w:lang w:eastAsia="ru-RU" w:bidi="ru-RU"/>
              </w:rPr>
              <w:t>задач</w:t>
            </w:r>
            <w:r>
              <w:rPr>
                <w:sz w:val="28"/>
                <w:szCs w:val="28"/>
                <w:lang w:eastAsia="ru-RU" w:bidi="ru-RU"/>
              </w:rPr>
              <w:t>и</w:t>
            </w:r>
            <w:r w:rsidRPr="00474766">
              <w:rPr>
                <w:sz w:val="28"/>
                <w:szCs w:val="28"/>
              </w:rPr>
              <w:t>, владеет необходимыми навыками и приемами их выполнения</w:t>
            </w:r>
            <w:r>
              <w:rPr>
                <w:sz w:val="28"/>
                <w:szCs w:val="28"/>
              </w:rPr>
              <w:t>.</w:t>
            </w:r>
          </w:p>
        </w:tc>
      </w:tr>
      <w:tr w:rsidR="002C05A8" w:rsidRPr="00474766" w:rsidTr="0088459B">
        <w:trPr>
          <w:trHeight w:val="2561"/>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lastRenderedPageBreak/>
              <w:t>«Удовлетворительно»</w:t>
            </w:r>
          </w:p>
          <w:p w:rsidR="002C05A8" w:rsidRPr="00474766" w:rsidRDefault="002C05A8" w:rsidP="0088459B">
            <w:pPr>
              <w:widowControl w:val="0"/>
              <w:jc w:val="both"/>
              <w:rPr>
                <w:sz w:val="28"/>
                <w:szCs w:val="28"/>
                <w:lang w:eastAsia="ru-RU" w:bidi="ru-RU"/>
              </w:rPr>
            </w:pPr>
          </w:p>
        </w:tc>
        <w:tc>
          <w:tcPr>
            <w:tcW w:w="3544" w:type="dxa"/>
            <w:vMerge/>
            <w:shd w:val="clear" w:color="auto" w:fill="FFFFFF"/>
          </w:tcPr>
          <w:p w:rsidR="002C05A8" w:rsidRPr="00474766" w:rsidRDefault="002C05A8" w:rsidP="0088459B">
            <w:pPr>
              <w:jc w:val="both"/>
              <w:rPr>
                <w:sz w:val="28"/>
                <w:szCs w:val="28"/>
              </w:rPr>
            </w:pPr>
          </w:p>
        </w:tc>
        <w:tc>
          <w:tcPr>
            <w:tcW w:w="4677" w:type="dxa"/>
            <w:shd w:val="clear" w:color="auto" w:fill="FFFFFF"/>
          </w:tcPr>
          <w:p w:rsidR="002C05A8" w:rsidRPr="00474766" w:rsidRDefault="002C05A8" w:rsidP="0088459B">
            <w:pPr>
              <w:widowControl w:val="0"/>
              <w:ind w:right="131"/>
              <w:jc w:val="both"/>
              <w:rPr>
                <w:sz w:val="28"/>
                <w:szCs w:val="28"/>
                <w:lang w:eastAsia="ru-RU" w:bidi="ru-RU"/>
              </w:rPr>
            </w:pPr>
            <w:r w:rsidRPr="00474766">
              <w:rPr>
                <w:sz w:val="28"/>
                <w:szCs w:val="28"/>
                <w:lang w:eastAsia="ru-RU" w:bidi="ru-RU"/>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w:t>
            </w:r>
            <w:r>
              <w:rPr>
                <w:sz w:val="28"/>
                <w:szCs w:val="28"/>
                <w:lang w:eastAsia="ru-RU" w:bidi="ru-RU"/>
              </w:rPr>
              <w:t>решении ситуационной задачи.</w:t>
            </w:r>
          </w:p>
        </w:tc>
      </w:tr>
      <w:tr w:rsidR="002C05A8" w:rsidRPr="00474766" w:rsidTr="0088459B">
        <w:trPr>
          <w:trHeight w:val="2113"/>
        </w:trPr>
        <w:tc>
          <w:tcPr>
            <w:tcW w:w="1995" w:type="dxa"/>
            <w:shd w:val="clear" w:color="auto" w:fill="FFFFFF"/>
          </w:tcPr>
          <w:p w:rsidR="002C05A8" w:rsidRPr="00474766" w:rsidRDefault="002C05A8" w:rsidP="0088459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2C05A8" w:rsidRPr="00474766" w:rsidRDefault="002C05A8" w:rsidP="0088459B">
            <w:pPr>
              <w:jc w:val="both"/>
              <w:rPr>
                <w:sz w:val="28"/>
                <w:szCs w:val="28"/>
              </w:rPr>
            </w:pPr>
          </w:p>
        </w:tc>
        <w:tc>
          <w:tcPr>
            <w:tcW w:w="4677" w:type="dxa"/>
            <w:shd w:val="clear" w:color="auto" w:fill="FFFFFF"/>
          </w:tcPr>
          <w:p w:rsidR="002C05A8" w:rsidRPr="00474766" w:rsidRDefault="002C05A8" w:rsidP="0088459B">
            <w:pPr>
              <w:widowControl w:val="0"/>
              <w:ind w:right="131"/>
              <w:jc w:val="both"/>
              <w:rPr>
                <w:sz w:val="28"/>
                <w:szCs w:val="28"/>
                <w:lang w:eastAsia="ru-RU" w:bidi="ru-RU"/>
              </w:rPr>
            </w:pPr>
            <w:r w:rsidRPr="0047476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w:t>
            </w:r>
            <w:r>
              <w:rPr>
                <w:sz w:val="28"/>
                <w:szCs w:val="28"/>
                <w:lang w:eastAsia="ru-RU" w:bidi="ru-RU"/>
              </w:rPr>
              <w:t>решение ситуационной задачи.</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C05A8" w:rsidRPr="00121641" w:rsidRDefault="002C05A8" w:rsidP="002C05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«Универсальная система тестирования БГТИ». </w:t>
      </w:r>
      <w:r w:rsidRPr="00D16E93">
        <w:rPr>
          <w:sz w:val="28"/>
          <w:szCs w:val="28"/>
        </w:rPr>
        <w:t xml:space="preserve">На тестирование отводится 60  минут. Каждый вариант тестовых заданий включает </w:t>
      </w:r>
      <w:r>
        <w:rPr>
          <w:sz w:val="28"/>
          <w:szCs w:val="28"/>
        </w:rPr>
        <w:t>3</w:t>
      </w:r>
      <w:r w:rsidRPr="00D16E93">
        <w:rPr>
          <w:sz w:val="28"/>
          <w:szCs w:val="28"/>
        </w:rPr>
        <w:t>0 вопросов. За каждый правильный</w:t>
      </w:r>
      <w:r>
        <w:rPr>
          <w:sz w:val="28"/>
          <w:szCs w:val="28"/>
        </w:rPr>
        <w:t xml:space="preserve">  ответ на вопрос </w:t>
      </w:r>
      <w:r w:rsidRPr="00D16E93">
        <w:rPr>
          <w:sz w:val="28"/>
          <w:szCs w:val="28"/>
        </w:rPr>
        <w:t xml:space="preserve">дается 1 балл.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«хорошо</w:t>
      </w:r>
      <w:r w:rsidRPr="00D16E93">
        <w:rPr>
          <w:sz w:val="28"/>
          <w:szCs w:val="28"/>
        </w:rPr>
        <w:t xml:space="preserve">», если студент </w:t>
      </w:r>
      <w:r w:rsidRPr="00065973">
        <w:rPr>
          <w:sz w:val="28"/>
          <w:szCs w:val="28"/>
        </w:rPr>
        <w:t xml:space="preserve">набрал </w:t>
      </w:r>
      <w:r w:rsidRPr="002C05A8">
        <w:rPr>
          <w:rStyle w:val="36"/>
          <w:rFonts w:eastAsiaTheme="majorEastAsia"/>
          <w:u w:val="none"/>
        </w:rPr>
        <w:t xml:space="preserve">от 71 до 85  % </w:t>
      </w:r>
      <w:r w:rsidRPr="002C05A8">
        <w:rPr>
          <w:sz w:val="28"/>
          <w:szCs w:val="28"/>
        </w:rPr>
        <w:t xml:space="preserve">правильных ответов, «удовлетворительно» </w:t>
      </w:r>
      <w:r w:rsidRPr="002C05A8">
        <w:rPr>
          <w:rStyle w:val="36"/>
          <w:rFonts w:eastAsiaTheme="majorEastAsia"/>
          <w:u w:val="none"/>
        </w:rPr>
        <w:t xml:space="preserve">от 55 до 70  % , </w:t>
      </w:r>
      <w:r w:rsidRPr="002C05A8">
        <w:rPr>
          <w:sz w:val="28"/>
          <w:szCs w:val="28"/>
        </w:rPr>
        <w:t>«неудовлетворительно» ставится</w:t>
      </w:r>
      <w:r w:rsidRPr="00065973">
        <w:rPr>
          <w:sz w:val="28"/>
          <w:szCs w:val="28"/>
        </w:rPr>
        <w:t>, если студент набрал менее 55 % правильных ответов.</w:t>
      </w:r>
      <w:r w:rsidRPr="007F3272">
        <w:rPr>
          <w:sz w:val="28"/>
          <w:szCs w:val="28"/>
        </w:rPr>
        <w:t xml:space="preserve">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w:t>
      </w:r>
      <w:r w:rsidRPr="00121641">
        <w:rPr>
          <w:iCs/>
          <w:sz w:val="28"/>
          <w:szCs w:val="28"/>
          <w:shd w:val="clear" w:color="auto" w:fill="FFFFFF"/>
        </w:rPr>
        <w:lastRenderedPageBreak/>
        <w:t>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4"/>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lastRenderedPageBreak/>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дифференцированному зачету</w:t>
      </w:r>
    </w:p>
    <w:p w:rsidR="002C05A8" w:rsidRPr="00121641" w:rsidRDefault="002C05A8" w:rsidP="002C05A8">
      <w:pPr>
        <w:ind w:right="-143" w:firstLine="709"/>
        <w:rPr>
          <w:sz w:val="28"/>
          <w:szCs w:val="28"/>
        </w:rPr>
      </w:pPr>
    </w:p>
    <w:p w:rsidR="002C05A8" w:rsidRPr="00121641" w:rsidRDefault="002C05A8" w:rsidP="002C05A8">
      <w:pPr>
        <w:ind w:firstLine="709"/>
        <w:jc w:val="both"/>
        <w:rPr>
          <w:sz w:val="28"/>
          <w:szCs w:val="28"/>
        </w:rPr>
      </w:pPr>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2C05A8" w:rsidRPr="00121641" w:rsidRDefault="002C05A8" w:rsidP="002C05A8">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w:t>
      </w:r>
      <w:r w:rsidRPr="0088459B">
        <w:rPr>
          <w:sz w:val="28"/>
          <w:szCs w:val="28"/>
        </w:rPr>
        <w:t xml:space="preserve">ответов, «хорошо», если студент набрал </w:t>
      </w:r>
      <w:r w:rsidRPr="0088459B">
        <w:rPr>
          <w:rStyle w:val="36"/>
          <w:rFonts w:eastAsiaTheme="majorEastAsia"/>
          <w:u w:val="none"/>
        </w:rPr>
        <w:t xml:space="preserve">от 71 до 85  % </w:t>
      </w:r>
      <w:r w:rsidRPr="0088459B">
        <w:rPr>
          <w:sz w:val="28"/>
          <w:szCs w:val="28"/>
        </w:rPr>
        <w:t xml:space="preserve">правильных ответов, «удовлетворительно» </w:t>
      </w:r>
      <w:r w:rsidRPr="0088459B">
        <w:rPr>
          <w:rStyle w:val="36"/>
          <w:rFonts w:eastAsiaTheme="majorEastAsia"/>
          <w:u w:val="none"/>
        </w:rPr>
        <w:t xml:space="preserve">от 55 до 70  % , </w:t>
      </w:r>
      <w:r w:rsidRPr="0088459B">
        <w:rPr>
          <w:sz w:val="28"/>
          <w:szCs w:val="28"/>
        </w:rPr>
        <w:t>«неудовлетворительно» ставится, если студент набрал менее 55 % правильных ответов.</w:t>
      </w:r>
    </w:p>
    <w:p w:rsidR="002C05A8" w:rsidRPr="00121641" w:rsidRDefault="002C05A8" w:rsidP="002C05A8">
      <w:pPr>
        <w:ind w:firstLine="709"/>
        <w:jc w:val="both"/>
        <w:rPr>
          <w:sz w:val="28"/>
          <w:szCs w:val="28"/>
        </w:rPr>
      </w:pPr>
      <w:r w:rsidRPr="00121641">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2C05A8" w:rsidRPr="00121641" w:rsidRDefault="002C05A8" w:rsidP="002C05A8">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w:t>
      </w:r>
      <w:r w:rsidR="0088459B">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EA6702" w:rsidRPr="000932E7" w:rsidRDefault="002C05A8" w:rsidP="00853977">
      <w:pPr>
        <w:ind w:firstLine="709"/>
        <w:jc w:val="both"/>
      </w:pPr>
      <w:r w:rsidRPr="00121641">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sectPr w:rsidR="00EA6702" w:rsidRPr="000932E7"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91B" w:rsidRDefault="00E8591B" w:rsidP="005A0E63">
      <w:r>
        <w:separator/>
      </w:r>
    </w:p>
  </w:endnote>
  <w:endnote w:type="continuationSeparator" w:id="0">
    <w:p w:rsidR="00E8591B" w:rsidRDefault="00E8591B"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6"/>
      <w:docPartObj>
        <w:docPartGallery w:val="Page Numbers (Bottom of Page)"/>
        <w:docPartUnique/>
      </w:docPartObj>
    </w:sdtPr>
    <w:sdtContent>
      <w:p w:rsidR="00CA6692" w:rsidRDefault="00F152A7">
        <w:pPr>
          <w:pStyle w:val="ac"/>
          <w:jc w:val="right"/>
        </w:pPr>
        <w:r>
          <w:fldChar w:fldCharType="begin"/>
        </w:r>
        <w:r w:rsidR="008747C1">
          <w:instrText xml:space="preserve"> PAGE   \* MERGEFORMAT </w:instrText>
        </w:r>
        <w:r>
          <w:fldChar w:fldCharType="separate"/>
        </w:r>
        <w:r w:rsidR="00B366EA">
          <w:rPr>
            <w:noProof/>
          </w:rPr>
          <w:t>3</w:t>
        </w:r>
        <w:r>
          <w:rPr>
            <w:noProof/>
          </w:rPr>
          <w:fldChar w:fldCharType="end"/>
        </w:r>
      </w:p>
    </w:sdtContent>
  </w:sdt>
  <w:p w:rsidR="00CA6692" w:rsidRDefault="00CA66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91B" w:rsidRDefault="00E8591B" w:rsidP="005A0E63">
      <w:r>
        <w:separator/>
      </w:r>
    </w:p>
  </w:footnote>
  <w:footnote w:type="continuationSeparator" w:id="0">
    <w:p w:rsidR="00E8591B" w:rsidRDefault="00E8591B"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0"/>
  </w:num>
  <w:num w:numId="6">
    <w:abstractNumId w:val="3"/>
  </w:num>
  <w:num w:numId="7">
    <w:abstractNumId w:val="5"/>
  </w:num>
  <w:num w:numId="8">
    <w:abstractNumId w:val="1"/>
  </w:num>
  <w:num w:numId="9">
    <w:abstractNumId w:val="2"/>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5CA1"/>
    <w:rsid w:val="00037092"/>
    <w:rsid w:val="00037EE6"/>
    <w:rsid w:val="00047CB2"/>
    <w:rsid w:val="00050943"/>
    <w:rsid w:val="00073B10"/>
    <w:rsid w:val="00092A99"/>
    <w:rsid w:val="000932E7"/>
    <w:rsid w:val="000B1D1D"/>
    <w:rsid w:val="000C61F3"/>
    <w:rsid w:val="000C7A81"/>
    <w:rsid w:val="000D2356"/>
    <w:rsid w:val="000D68CD"/>
    <w:rsid w:val="000E7BCF"/>
    <w:rsid w:val="0012597F"/>
    <w:rsid w:val="00126DA1"/>
    <w:rsid w:val="00130DE2"/>
    <w:rsid w:val="00140C0D"/>
    <w:rsid w:val="00167F8E"/>
    <w:rsid w:val="0017155B"/>
    <w:rsid w:val="001769D8"/>
    <w:rsid w:val="001812E9"/>
    <w:rsid w:val="00185396"/>
    <w:rsid w:val="0019018B"/>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7D1"/>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60B8B"/>
    <w:rsid w:val="00565AC6"/>
    <w:rsid w:val="00566B6A"/>
    <w:rsid w:val="00571790"/>
    <w:rsid w:val="0057364D"/>
    <w:rsid w:val="0057381E"/>
    <w:rsid w:val="00576896"/>
    <w:rsid w:val="005838B4"/>
    <w:rsid w:val="00586D5F"/>
    <w:rsid w:val="00594A8B"/>
    <w:rsid w:val="005A0E63"/>
    <w:rsid w:val="005C1C69"/>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706D"/>
    <w:rsid w:val="00A874AD"/>
    <w:rsid w:val="00A90A42"/>
    <w:rsid w:val="00A92C3B"/>
    <w:rsid w:val="00AA4E04"/>
    <w:rsid w:val="00AE1291"/>
    <w:rsid w:val="00AE23E8"/>
    <w:rsid w:val="00AE330C"/>
    <w:rsid w:val="00AE5D5E"/>
    <w:rsid w:val="00AE7179"/>
    <w:rsid w:val="00AF3BAC"/>
    <w:rsid w:val="00AF6388"/>
    <w:rsid w:val="00B06CA1"/>
    <w:rsid w:val="00B11418"/>
    <w:rsid w:val="00B121FB"/>
    <w:rsid w:val="00B12733"/>
    <w:rsid w:val="00B13628"/>
    <w:rsid w:val="00B14A88"/>
    <w:rsid w:val="00B277FE"/>
    <w:rsid w:val="00B366EA"/>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A5F7E"/>
    <w:rsid w:val="00DB6A71"/>
    <w:rsid w:val="00DC4D81"/>
    <w:rsid w:val="00DD196F"/>
    <w:rsid w:val="00DD496D"/>
    <w:rsid w:val="00DD56AC"/>
    <w:rsid w:val="00E13160"/>
    <w:rsid w:val="00E32DE7"/>
    <w:rsid w:val="00E55DD2"/>
    <w:rsid w:val="00E71DC0"/>
    <w:rsid w:val="00E737ED"/>
    <w:rsid w:val="00E73FC6"/>
    <w:rsid w:val="00E74BB4"/>
    <w:rsid w:val="00E7623F"/>
    <w:rsid w:val="00E8591B"/>
    <w:rsid w:val="00E97706"/>
    <w:rsid w:val="00EA661A"/>
    <w:rsid w:val="00EA6702"/>
    <w:rsid w:val="00EB0118"/>
    <w:rsid w:val="00EC6761"/>
    <w:rsid w:val="00EE7DCA"/>
    <w:rsid w:val="00F00872"/>
    <w:rsid w:val="00F011E5"/>
    <w:rsid w:val="00F056C0"/>
    <w:rsid w:val="00F1245B"/>
    <w:rsid w:val="00F12503"/>
    <w:rsid w:val="00F13A76"/>
    <w:rsid w:val="00F152A7"/>
    <w:rsid w:val="00F26FD9"/>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28916-69E0-4696-9943-FF7DAFA3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15165</Words>
  <Characters>86441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2019-11-10T07:47:00Z</cp:lastPrinted>
  <dcterms:created xsi:type="dcterms:W3CDTF">2019-12-01T17:07:00Z</dcterms:created>
  <dcterms:modified xsi:type="dcterms:W3CDTF">2019-12-01T17:07:00Z</dcterms:modified>
</cp:coreProperties>
</file>