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155ACA">
        <w:rPr>
          <w:szCs w:val="28"/>
        </w:rPr>
        <w:t>экономических и учетных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155ACA">
        <w:rPr>
          <w:szCs w:val="28"/>
        </w:rPr>
        <w:t>Год набора  2016</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 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155ACA">
        <w:rPr>
          <w:szCs w:val="28"/>
        </w:rPr>
        <w:t>________от "___" __________ 2016</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3F5102">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12480D">
        <w:trPr>
          <w:tblHeader/>
        </w:trPr>
        <w:tc>
          <w:tcPr>
            <w:tcW w:w="1227" w:type="pct"/>
            <w:vAlign w:val="center"/>
          </w:tcPr>
          <w:p w:rsidR="000920D6" w:rsidRPr="003D02A7" w:rsidRDefault="000920D6" w:rsidP="0012480D">
            <w:pPr>
              <w:pStyle w:val="ReportMain"/>
              <w:suppressAutoHyphens/>
              <w:jc w:val="center"/>
            </w:pPr>
            <w:r w:rsidRPr="003D02A7">
              <w:t>Формируемые компетенции</w:t>
            </w:r>
          </w:p>
        </w:tc>
        <w:tc>
          <w:tcPr>
            <w:tcW w:w="2397" w:type="pct"/>
            <w:vAlign w:val="center"/>
          </w:tcPr>
          <w:p w:rsidR="000920D6" w:rsidRPr="003D02A7" w:rsidRDefault="000920D6" w:rsidP="0012480D">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12480D">
            <w:pPr>
              <w:pStyle w:val="ReportMain"/>
              <w:suppressAutoHyphens/>
              <w:jc w:val="center"/>
            </w:pPr>
            <w:r w:rsidRPr="003D02A7">
              <w:t>Виды оценочных средств/</w:t>
            </w:r>
          </w:p>
          <w:p w:rsidR="000920D6" w:rsidRPr="003D02A7" w:rsidRDefault="000920D6" w:rsidP="0012480D">
            <w:pPr>
              <w:pStyle w:val="ReportMain"/>
              <w:suppressAutoHyphens/>
              <w:jc w:val="center"/>
            </w:pPr>
            <w:r w:rsidRPr="003D02A7">
              <w:t>шифр раздела в данном документе</w:t>
            </w:r>
          </w:p>
        </w:tc>
      </w:tr>
      <w:tr w:rsidR="000920D6" w:rsidRPr="00AA38F5" w:rsidTr="0012480D">
        <w:trPr>
          <w:trHeight w:val="1005"/>
        </w:trPr>
        <w:tc>
          <w:tcPr>
            <w:tcW w:w="1227" w:type="pct"/>
            <w:vMerge w:val="restart"/>
          </w:tcPr>
          <w:p w:rsidR="000920D6" w:rsidRPr="00207741" w:rsidRDefault="000920D6" w:rsidP="0012480D">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12480D">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12480D">
            <w:pPr>
              <w:suppressAutoHyphens/>
              <w:jc w:val="both"/>
              <w:rPr>
                <w:sz w:val="24"/>
                <w:szCs w:val="24"/>
                <w:lang w:eastAsia="ru-RU"/>
              </w:rPr>
            </w:pPr>
            <w:r>
              <w:rPr>
                <w:sz w:val="24"/>
                <w:szCs w:val="24"/>
                <w:lang w:eastAsia="ru-RU"/>
              </w:rPr>
              <w:t>Тестовые задания</w:t>
            </w:r>
          </w:p>
          <w:p w:rsidR="000920D6" w:rsidRDefault="000920D6" w:rsidP="0012480D">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12480D">
        <w:trPr>
          <w:trHeight w:val="309"/>
        </w:trPr>
        <w:tc>
          <w:tcPr>
            <w:tcW w:w="1227" w:type="pct"/>
            <w:vMerge/>
          </w:tcPr>
          <w:p w:rsidR="000920D6" w:rsidRPr="00AA38F5" w:rsidRDefault="000920D6" w:rsidP="0012480D">
            <w:pPr>
              <w:suppressAutoHyphens/>
              <w:rPr>
                <w:sz w:val="24"/>
                <w:szCs w:val="24"/>
                <w:lang w:eastAsia="ru-RU"/>
              </w:rPr>
            </w:pPr>
          </w:p>
        </w:tc>
        <w:tc>
          <w:tcPr>
            <w:tcW w:w="2397" w:type="pct"/>
          </w:tcPr>
          <w:p w:rsidR="000920D6" w:rsidRDefault="000920D6" w:rsidP="0012480D">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12480D">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12480D">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12480D">
            <w:pPr>
              <w:suppressAutoHyphens/>
              <w:jc w:val="both"/>
              <w:rPr>
                <w:sz w:val="24"/>
                <w:szCs w:val="24"/>
                <w:lang w:eastAsia="ru-RU"/>
              </w:rPr>
            </w:pPr>
          </w:p>
        </w:tc>
      </w:tr>
      <w:tr w:rsidR="000920D6" w:rsidRPr="00AA38F5" w:rsidTr="0012480D">
        <w:trPr>
          <w:trHeight w:val="1139"/>
        </w:trPr>
        <w:tc>
          <w:tcPr>
            <w:tcW w:w="1227" w:type="pct"/>
            <w:vMerge/>
          </w:tcPr>
          <w:p w:rsidR="000920D6" w:rsidRPr="00AA38F5" w:rsidRDefault="000920D6" w:rsidP="0012480D">
            <w:pPr>
              <w:suppressAutoHyphens/>
              <w:rPr>
                <w:sz w:val="24"/>
                <w:szCs w:val="24"/>
                <w:lang w:eastAsia="ru-RU"/>
              </w:rPr>
            </w:pPr>
          </w:p>
        </w:tc>
        <w:tc>
          <w:tcPr>
            <w:tcW w:w="2397" w:type="pct"/>
          </w:tcPr>
          <w:p w:rsidR="000920D6" w:rsidRPr="00AA38F5" w:rsidRDefault="000920D6" w:rsidP="0012480D">
            <w:pPr>
              <w:suppressAutoHyphens/>
              <w:rPr>
                <w:sz w:val="24"/>
                <w:szCs w:val="24"/>
                <w:lang w:eastAsia="ru-RU"/>
              </w:rPr>
            </w:pPr>
            <w:r w:rsidRPr="00AA38F5">
              <w:rPr>
                <w:b/>
                <w:sz w:val="24"/>
                <w:szCs w:val="24"/>
                <w:u w:val="single"/>
                <w:lang w:eastAsia="ru-RU"/>
              </w:rPr>
              <w:t>Владеть:</w:t>
            </w:r>
          </w:p>
          <w:p w:rsidR="000920D6" w:rsidRPr="0024178F" w:rsidRDefault="000920D6" w:rsidP="0012480D">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12480D">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12480D">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171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171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bookmarkStart w:id="2" w:name="_GoBack"/>
      <w:bookmarkEnd w:id="2"/>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proofErr w:type="gramStart"/>
            <w:r w:rsidRPr="001B245A">
              <w:rPr>
                <w:sz w:val="28"/>
                <w:szCs w:val="28"/>
                <w:lang w:eastAsia="ru-RU"/>
              </w:rPr>
              <w:t>р</w:t>
            </w:r>
            <w:proofErr w:type="gramEnd"/>
            <w:r w:rsidRPr="001B245A">
              <w:rPr>
                <w:sz w:val="28"/>
                <w:szCs w:val="28"/>
                <w:lang w:eastAsia="ru-RU"/>
              </w:rPr>
              <w:t>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lastRenderedPageBreak/>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lastRenderedPageBreak/>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6E" w:rsidRDefault="00C83C6E" w:rsidP="00672C42">
      <w:r>
        <w:separator/>
      </w:r>
    </w:p>
  </w:endnote>
  <w:endnote w:type="continuationSeparator" w:id="0">
    <w:p w:rsidR="00C83C6E" w:rsidRDefault="00C83C6E"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6E" w:rsidRDefault="00C83C6E" w:rsidP="00672C42">
      <w:r>
        <w:separator/>
      </w:r>
    </w:p>
  </w:footnote>
  <w:footnote w:type="continuationSeparator" w:id="0">
    <w:p w:rsidR="00C83C6E" w:rsidRDefault="00C83C6E"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426E1"/>
    <w:rsid w:val="00BA609B"/>
    <w:rsid w:val="00BD2352"/>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4048-A542-4331-B57F-DC8AAE0C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21641</Words>
  <Characters>123358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66</cp:revision>
  <dcterms:created xsi:type="dcterms:W3CDTF">2006-01-01T00:39:00Z</dcterms:created>
  <dcterms:modified xsi:type="dcterms:W3CDTF">2005-12-31T21:49:00Z</dcterms:modified>
</cp:coreProperties>
</file>