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Кафедра уголовного права и уголовного процесса</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21DB0" w:rsidP="0075511E">
      <w:pPr>
        <w:pStyle w:val="ReportHead"/>
        <w:suppressAutoHyphens/>
        <w:rPr>
          <w:i/>
          <w:szCs w:val="28"/>
          <w:u w:val="single"/>
        </w:rPr>
      </w:pPr>
      <w:r>
        <w:rPr>
          <w:i/>
          <w:szCs w:val="28"/>
          <w:u w:val="single"/>
        </w:rPr>
        <w:t>Зао</w:t>
      </w:r>
      <w:r w:rsidR="00BC20F6" w:rsidRPr="0075511E">
        <w:rPr>
          <w:i/>
          <w:szCs w:val="28"/>
          <w:u w:val="single"/>
        </w:rPr>
        <w:t>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785FA4">
        <w:rPr>
          <w:sz w:val="28"/>
          <w:szCs w:val="28"/>
        </w:rPr>
        <w:t>6</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протокол № 9 от "13" марта 2017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9E" w:rsidRDefault="002F5D9E" w:rsidP="005A0E63">
      <w:r>
        <w:separator/>
      </w:r>
    </w:p>
  </w:endnote>
  <w:endnote w:type="continuationSeparator" w:id="0">
    <w:p w:rsidR="002F5D9E" w:rsidRDefault="002F5D9E"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9A35A9">
        <w:pPr>
          <w:pStyle w:val="ac"/>
          <w:jc w:val="right"/>
        </w:pPr>
        <w:fldSimple w:instr=" PAGE   \* MERGEFORMAT ">
          <w:r w:rsidR="00B21DB0">
            <w:rPr>
              <w:noProof/>
            </w:rPr>
            <w:t>2</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9E" w:rsidRDefault="002F5D9E" w:rsidP="005A0E63">
      <w:r>
        <w:separator/>
      </w:r>
    </w:p>
  </w:footnote>
  <w:footnote w:type="continuationSeparator" w:id="0">
    <w:p w:rsidR="002F5D9E" w:rsidRDefault="002F5D9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7C8B"/>
    <w:rsid w:val="002B0F5C"/>
    <w:rsid w:val="002E0591"/>
    <w:rsid w:val="002F0FDA"/>
    <w:rsid w:val="002F5D9E"/>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68AD"/>
    <w:rsid w:val="00747BB3"/>
    <w:rsid w:val="007520E7"/>
    <w:rsid w:val="00753D31"/>
    <w:rsid w:val="0075511E"/>
    <w:rsid w:val="00785FA4"/>
    <w:rsid w:val="00794D23"/>
    <w:rsid w:val="00794EDF"/>
    <w:rsid w:val="008226D0"/>
    <w:rsid w:val="0086227A"/>
    <w:rsid w:val="00891D5E"/>
    <w:rsid w:val="00896C9E"/>
    <w:rsid w:val="008A0E76"/>
    <w:rsid w:val="008B09E1"/>
    <w:rsid w:val="008E4EAD"/>
    <w:rsid w:val="008E6EC2"/>
    <w:rsid w:val="008F65C4"/>
    <w:rsid w:val="00906F0F"/>
    <w:rsid w:val="00933B29"/>
    <w:rsid w:val="009502DE"/>
    <w:rsid w:val="00951876"/>
    <w:rsid w:val="009A35A9"/>
    <w:rsid w:val="009A767F"/>
    <w:rsid w:val="009E1D6F"/>
    <w:rsid w:val="009E529C"/>
    <w:rsid w:val="00A059D7"/>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21DB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B6A71"/>
    <w:rsid w:val="00DC4D81"/>
    <w:rsid w:val="00DD0B37"/>
    <w:rsid w:val="00DD196F"/>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9ED3-B33E-495F-9F66-484DD85B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17164</Words>
  <Characters>97836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8</cp:revision>
  <cp:lastPrinted>2019-02-23T18:07:00Z</cp:lastPrinted>
  <dcterms:created xsi:type="dcterms:W3CDTF">2019-11-04T21:45:00Z</dcterms:created>
  <dcterms:modified xsi:type="dcterms:W3CDTF">2019-12-09T01:09:00Z</dcterms:modified>
</cp:coreProperties>
</file>