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E671F8" w:rsidRDefault="003F6333" w:rsidP="00E671F8">
      <w:pPr>
        <w:pStyle w:val="ReportHead"/>
        <w:suppressAutoHyphens/>
        <w:rPr>
          <w:i/>
          <w:szCs w:val="28"/>
          <w:u w:val="single"/>
        </w:rPr>
      </w:pPr>
      <w:r>
        <w:rPr>
          <w:i/>
          <w:u w:val="single"/>
        </w:rPr>
        <w:t xml:space="preserve">   </w:t>
      </w:r>
      <w:r w:rsidR="00E671F8">
        <w:rPr>
          <w:i/>
          <w:szCs w:val="28"/>
          <w:u w:val="single"/>
        </w:rPr>
        <w:t>08.03.01 Строительство</w:t>
      </w:r>
    </w:p>
    <w:p w:rsidR="00E671F8" w:rsidRDefault="00E671F8" w:rsidP="00E671F8">
      <w:pPr>
        <w:pStyle w:val="ReportHead"/>
        <w:suppressAutoHyphens/>
        <w:rPr>
          <w:szCs w:val="28"/>
          <w:vertAlign w:val="superscript"/>
        </w:rPr>
      </w:pPr>
      <w:r>
        <w:rPr>
          <w:szCs w:val="28"/>
          <w:vertAlign w:val="superscript"/>
        </w:rPr>
        <w:t>(код и наименование направления подготовки)</w:t>
      </w:r>
    </w:p>
    <w:p w:rsidR="00E671F8" w:rsidRDefault="00E671F8" w:rsidP="00E671F8">
      <w:pPr>
        <w:pStyle w:val="ReportHead"/>
        <w:suppressAutoHyphens/>
        <w:rPr>
          <w:i/>
          <w:szCs w:val="28"/>
          <w:u w:val="single"/>
        </w:rPr>
      </w:pPr>
      <w:r>
        <w:rPr>
          <w:i/>
          <w:szCs w:val="28"/>
          <w:u w:val="single"/>
        </w:rPr>
        <w:t>Промышленное и гражданское строительство</w:t>
      </w:r>
    </w:p>
    <w:p w:rsidR="00A04187" w:rsidRDefault="00A04187" w:rsidP="00E671F8">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E671F8" w:rsidRPr="00E671F8">
        <w:rPr>
          <w:i/>
          <w:sz w:val="24"/>
          <w:u w:val="single"/>
        </w:rPr>
        <w:t xml:space="preserve"> 08.03.01 Строительство</w:t>
      </w:r>
      <w:bookmarkStart w:id="0" w:name="_GoBack"/>
      <w:bookmarkEnd w:id="0"/>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proofErr w:type="gramStart"/>
      <w:r w:rsidR="00384237" w:rsidRPr="00087D31">
        <w:rPr>
          <w:b/>
          <w:sz w:val="28"/>
          <w:szCs w:val="28"/>
        </w:rPr>
        <w:t>Игра  в</w:t>
      </w:r>
      <w:proofErr w:type="gramEnd"/>
      <w:r w:rsidR="00384237" w:rsidRPr="00087D31">
        <w:rPr>
          <w:b/>
          <w:sz w:val="28"/>
          <w:szCs w:val="28"/>
        </w:rPr>
        <w:t xml:space="preserve">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w:t>
      </w:r>
      <w:proofErr w:type="gramStart"/>
      <w:r w:rsidR="00384237" w:rsidRPr="00087D31">
        <w:rPr>
          <w:b/>
          <w:sz w:val="28"/>
          <w:szCs w:val="28"/>
        </w:rPr>
        <w:t>площадка  при</w:t>
      </w:r>
      <w:proofErr w:type="gramEnd"/>
      <w:r w:rsidR="00384237" w:rsidRPr="00087D31">
        <w:rPr>
          <w:b/>
          <w:sz w:val="28"/>
          <w:szCs w:val="28"/>
        </w:rPr>
        <w:t xml:space="preserve">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xml:space="preserve">) может решить, кто из игроков будет первым подавать </w:t>
      </w:r>
      <w:proofErr w:type="gramStart"/>
      <w:r w:rsidRPr="00D84DDE">
        <w:rPr>
          <w:sz w:val="28"/>
          <w:szCs w:val="28"/>
        </w:rPr>
        <w:t>и</w:t>
      </w:r>
      <w:proofErr w:type="gramEnd"/>
      <w:r w:rsidRPr="00D84DDE">
        <w:rPr>
          <w:sz w:val="28"/>
          <w:szCs w:val="28"/>
        </w:rPr>
        <w:t xml:space="preserve">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w:t>
      </w:r>
      <w:proofErr w:type="gramStart"/>
      <w:r w:rsidR="00053087" w:rsidRPr="003764C2">
        <w:rPr>
          <w:b/>
          <w:sz w:val="28"/>
          <w:szCs w:val="28"/>
          <w:lang w:eastAsia="ru-RU"/>
        </w:rPr>
        <w:t xml:space="preserve">средством </w:t>
      </w:r>
      <w:r>
        <w:rPr>
          <w:b/>
          <w:sz w:val="28"/>
          <w:szCs w:val="28"/>
          <w:lang w:eastAsia="ru-RU"/>
        </w:rPr>
        <w:t xml:space="preserve"> </w:t>
      </w:r>
      <w:r w:rsidR="00053087" w:rsidRPr="003764C2">
        <w:rPr>
          <w:b/>
          <w:sz w:val="28"/>
          <w:szCs w:val="28"/>
          <w:lang w:eastAsia="ru-RU"/>
        </w:rPr>
        <w:t>является</w:t>
      </w:r>
      <w:proofErr w:type="gramEnd"/>
      <w:r w:rsidR="00053087" w:rsidRPr="003764C2">
        <w:rPr>
          <w:b/>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xml:space="preserve">, </w:t>
      </w:r>
      <w:proofErr w:type="gramStart"/>
      <w:r>
        <w:rPr>
          <w:sz w:val="28"/>
          <w:szCs w:val="28"/>
          <w:lang w:eastAsia="ru-RU"/>
        </w:rPr>
        <w:t>с</w:t>
      </w:r>
      <w:r w:rsidRPr="003F7EC5">
        <w:rPr>
          <w:sz w:val="28"/>
          <w:szCs w:val="28"/>
          <w:lang w:eastAsia="ru-RU"/>
        </w:rPr>
        <w:t xml:space="preserve">етки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r>
        <w:rPr>
          <w:sz w:val="28"/>
        </w:rPr>
        <w:t xml:space="preserve"> </w:t>
      </w:r>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E671F8">
      <w:rPr>
        <w:noProof/>
      </w:rPr>
      <w:t>21</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474E-4CB8-48DE-95EA-2FDDCCC6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10317</Words>
  <Characters>58808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31</cp:revision>
  <cp:lastPrinted>2019-11-04T19:56:00Z</cp:lastPrinted>
  <dcterms:created xsi:type="dcterms:W3CDTF">2022-03-18T13:51:00Z</dcterms:created>
  <dcterms:modified xsi:type="dcterms:W3CDTF">2022-03-21T15:58:00Z</dcterms:modified>
</cp:coreProperties>
</file>