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68" w:rsidRPr="00DC1A68" w:rsidRDefault="00DC1A68" w:rsidP="00DC1A68">
      <w:pPr>
        <w:pStyle w:val="ReportHead"/>
        <w:suppressAutoHyphens/>
        <w:rPr>
          <w:sz w:val="24"/>
        </w:rPr>
      </w:pPr>
      <w:r w:rsidRPr="00DC1A68">
        <w:rPr>
          <w:sz w:val="24"/>
        </w:rPr>
        <w:t>Министерство образования и науки Российской Федерации</w:t>
      </w:r>
    </w:p>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Кафедра гражданского права и процесса</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DC1A68" w:rsidRDefault="000F4359" w:rsidP="000F4359">
      <w:pPr>
        <w:pStyle w:val="ReportHead"/>
        <w:suppressAutoHyphens/>
        <w:spacing w:before="120"/>
        <w:rPr>
          <w:b/>
        </w:rPr>
      </w:pPr>
      <w:r w:rsidRPr="00DC1A68">
        <w:rPr>
          <w:b/>
        </w:rPr>
        <w:t>МЕТОДИЧЕСКИЕ УКАЗАНИЯ ПО ОСВОЕНИЮ</w:t>
      </w:r>
    </w:p>
    <w:p w:rsidR="000F4359" w:rsidRPr="00DC1A68" w:rsidRDefault="000F4359" w:rsidP="000F4359">
      <w:pPr>
        <w:pStyle w:val="ReportHead"/>
        <w:suppressAutoHyphens/>
        <w:spacing w:before="120"/>
        <w:rPr>
          <w:b/>
          <w:sz w:val="24"/>
        </w:rPr>
      </w:pPr>
      <w:r w:rsidRPr="00DC1A68">
        <w:rPr>
          <w:b/>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2016</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D870CD">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 Бузулук: БГТИ (филиал) ОГУ, 2016.</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«___»______________2016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Методические рекомендации по подготовке к рубежному контролю</w:t>
      </w:r>
      <w:r>
        <w:rPr>
          <w:rFonts w:ascii="Times New Roman" w:hAnsi="Times New Roman" w:cs="Times New Roman"/>
          <w:sz w:val="28"/>
          <w:szCs w:val="28"/>
        </w:rPr>
        <w:t>……</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AF6366">
        <w:rPr>
          <w:rFonts w:ascii="Times New Roman" w:hAnsi="Times New Roman" w:cs="Times New Roman"/>
          <w:sz w:val="28"/>
          <w:szCs w:val="28"/>
        </w:rPr>
        <w:t>8</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Pr>
          <w:rFonts w:ascii="Times New Roman" w:hAnsi="Times New Roman" w:cs="Times New Roman"/>
          <w:sz w:val="28"/>
          <w:szCs w:val="28"/>
        </w:rPr>
        <w:t>...</w:t>
      </w:r>
      <w:r w:rsidR="000F4359">
        <w:rPr>
          <w:rFonts w:ascii="Times New Roman" w:hAnsi="Times New Roman" w:cs="Times New Roman"/>
          <w:sz w:val="28"/>
          <w:szCs w:val="28"/>
        </w:rPr>
        <w:t>9</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0F4359">
        <w:rPr>
          <w:rFonts w:ascii="Times New Roman" w:hAnsi="Times New Roman" w:cs="Times New Roman"/>
          <w:sz w:val="28"/>
          <w:szCs w:val="28"/>
        </w:rPr>
        <w:t>5</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r w:rsidR="0002648D">
        <w:rPr>
          <w:rFonts w:ascii="Times New Roman" w:hAnsi="Times New Roman" w:cs="Times New Roman"/>
          <w:sz w:val="28"/>
          <w:szCs w:val="28"/>
        </w:rPr>
        <w:t>..</w:t>
      </w:r>
      <w:r>
        <w:rPr>
          <w:rFonts w:ascii="Times New Roman" w:hAnsi="Times New Roman" w:cs="Times New Roman"/>
          <w:sz w:val="28"/>
          <w:szCs w:val="28"/>
        </w:rPr>
        <w:t>...</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w:t>
      </w:r>
      <w:r w:rsidRPr="00F86E0E">
        <w:rPr>
          <w:rFonts w:ascii="Times New Roman" w:hAnsi="Times New Roman" w:cs="Times New Roman"/>
          <w:sz w:val="24"/>
          <w:szCs w:val="24"/>
        </w:rPr>
        <w:lastRenderedPageBreak/>
        <w:t xml:space="preserve">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w:t>
      </w:r>
      <w:r w:rsidRPr="00F86E0E">
        <w:rPr>
          <w:rFonts w:ascii="Times New Roman" w:hAnsi="Times New Roman" w:cs="Times New Roman"/>
          <w:sz w:val="24"/>
          <w:szCs w:val="24"/>
        </w:rPr>
        <w:lastRenderedPageBreak/>
        <w:t>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lastRenderedPageBreak/>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w:t>
      </w:r>
      <w:r w:rsidRPr="00F86E0E">
        <w:rPr>
          <w:rFonts w:ascii="Times New Roman" w:hAnsi="Times New Roman" w:cs="Times New Roman"/>
          <w:sz w:val="24"/>
          <w:szCs w:val="24"/>
        </w:rPr>
        <w:lastRenderedPageBreak/>
        <w:t xml:space="preserve">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285DD0" w:rsidP="00F86E0E">
      <w:pPr>
        <w:shd w:val="clear" w:color="auto" w:fill="FFFFFF"/>
        <w:spacing w:after="0" w:line="240" w:lineRule="auto"/>
        <w:ind w:left="-567" w:firstLine="709"/>
        <w:jc w:val="both"/>
        <w:rPr>
          <w:rStyle w:val="a7"/>
          <w:rFonts w:ascii="Times New Roman" w:hAnsi="Times New Roman" w:cs="Times New Roman"/>
          <w:b w:val="0"/>
          <w:sz w:val="24"/>
          <w:szCs w:val="24"/>
        </w:rPr>
      </w:pPr>
      <w:r>
        <w:rPr>
          <w:rFonts w:ascii="Times New Roman" w:hAnsi="Times New Roman" w:cs="Times New Roman"/>
          <w:b/>
          <w:sz w:val="24"/>
          <w:szCs w:val="24"/>
        </w:rPr>
        <w:t xml:space="preserve">Тема </w:t>
      </w:r>
      <w:bookmarkStart w:id="1" w:name="_GoBack"/>
      <w:bookmarkEnd w:id="1"/>
      <w:r>
        <w:rPr>
          <w:rFonts w:ascii="Times New Roman" w:hAnsi="Times New Roman" w:cs="Times New Roman"/>
          <w:b/>
          <w:sz w:val="24"/>
          <w:szCs w:val="24"/>
        </w:rPr>
        <w:t>«</w:t>
      </w:r>
      <w:r w:rsidR="00F86E0E" w:rsidRPr="006357BF">
        <w:rPr>
          <w:rFonts w:ascii="Times New Roman" w:hAnsi="Times New Roman" w:cs="Times New Roman"/>
          <w:b/>
          <w:sz w:val="24"/>
          <w:szCs w:val="24"/>
        </w:rPr>
        <w:t>Судебное разбирательство</w:t>
      </w:r>
      <w:r>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w:t>
      </w:r>
      <w:r w:rsidRPr="009D664D">
        <w:rPr>
          <w:rFonts w:ascii="Times New Roman" w:eastAsia="Times New Roman" w:hAnsi="Times New Roman" w:cs="Times New Roman"/>
          <w:color w:val="000000"/>
          <w:sz w:val="24"/>
          <w:szCs w:val="24"/>
        </w:rPr>
        <w:lastRenderedPageBreak/>
        <w:t>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«отлично» - </w:t>
      </w:r>
      <w:r w:rsidR="00A152C2" w:rsidRPr="00A152C2">
        <w:rPr>
          <w:color w:val="000000"/>
        </w:rPr>
        <w:t>Выполнено более 95 % заданий предложенного теста, в заданиях открытого типа дан полный, развернутый ответ на поставленный вопрос</w:t>
      </w:r>
      <w:r w:rsidRPr="00F86E0E">
        <w:rPr>
          <w:color w:val="000000"/>
        </w:rPr>
        <w:t>;</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«хорошо» - </w:t>
      </w:r>
      <w:r w:rsidR="00A152C2" w:rsidRPr="00A152C2">
        <w:rPr>
          <w:color w:val="000000"/>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r w:rsidRPr="00F86E0E">
        <w:rPr>
          <w:color w:val="000000"/>
        </w:rPr>
        <w:t>;</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«удовлетворительно» - </w:t>
      </w:r>
      <w:r w:rsidR="00A152C2" w:rsidRPr="00A152C2">
        <w:rPr>
          <w:color w:val="000000"/>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«неудовлетворительно» - </w:t>
      </w:r>
      <w:r w:rsidR="00A152C2" w:rsidRPr="00A152C2">
        <w:rPr>
          <w:color w:val="000000"/>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r w:rsidRPr="00F86E0E">
        <w:rPr>
          <w:color w:val="000000"/>
        </w:rPr>
        <w:t>.</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lastRenderedPageBreak/>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08" w:rsidRDefault="00EC4D08" w:rsidP="009C4F41">
      <w:pPr>
        <w:spacing w:after="0" w:line="240" w:lineRule="auto"/>
      </w:pPr>
      <w:r>
        <w:separator/>
      </w:r>
    </w:p>
  </w:endnote>
  <w:endnote w:type="continuationSeparator" w:id="0">
    <w:p w:rsidR="00EC4D08" w:rsidRDefault="00EC4D08"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rPr>
        <w:rFonts w:ascii="Times New Roman" w:hAnsi="Times New Roman" w:cs="Times New Roman"/>
      </w:rPr>
    </w:sdtEndPr>
    <w:sdtContent>
      <w:p w:rsidR="00380AFD" w:rsidRPr="00DC1A68" w:rsidRDefault="00380AFD">
        <w:pPr>
          <w:pStyle w:val="ac"/>
          <w:jc w:val="right"/>
          <w:rPr>
            <w:rFonts w:ascii="Times New Roman" w:hAnsi="Times New Roman" w:cs="Times New Roman"/>
          </w:rPr>
        </w:pPr>
        <w:r w:rsidRPr="00DC1A68">
          <w:rPr>
            <w:rFonts w:ascii="Times New Roman" w:hAnsi="Times New Roman" w:cs="Times New Roman"/>
          </w:rPr>
          <w:fldChar w:fldCharType="begin"/>
        </w:r>
        <w:r w:rsidRPr="00DC1A68">
          <w:rPr>
            <w:rFonts w:ascii="Times New Roman" w:hAnsi="Times New Roman" w:cs="Times New Roman"/>
          </w:rPr>
          <w:instrText xml:space="preserve"> PAGE   \* MERGEFORMAT </w:instrText>
        </w:r>
        <w:r w:rsidRPr="00DC1A68">
          <w:rPr>
            <w:rFonts w:ascii="Times New Roman" w:hAnsi="Times New Roman" w:cs="Times New Roman"/>
          </w:rPr>
          <w:fldChar w:fldCharType="separate"/>
        </w:r>
        <w:r w:rsidR="00285DD0">
          <w:rPr>
            <w:rFonts w:ascii="Times New Roman" w:hAnsi="Times New Roman" w:cs="Times New Roman"/>
            <w:noProof/>
          </w:rPr>
          <w:t>13</w:t>
        </w:r>
        <w:r w:rsidRPr="00DC1A68">
          <w:rPr>
            <w:rFonts w:ascii="Times New Roman" w:hAnsi="Times New Roman" w:cs="Times New Roman"/>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08" w:rsidRDefault="00EC4D08" w:rsidP="009C4F41">
      <w:pPr>
        <w:spacing w:after="0" w:line="240" w:lineRule="auto"/>
      </w:pPr>
      <w:r>
        <w:separator/>
      </w:r>
    </w:p>
  </w:footnote>
  <w:footnote w:type="continuationSeparator" w:id="0">
    <w:p w:rsidR="00EC4D08" w:rsidRDefault="00EC4D08"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285DD0"/>
    <w:rsid w:val="003050A4"/>
    <w:rsid w:val="00345C20"/>
    <w:rsid w:val="00380AFD"/>
    <w:rsid w:val="003D4BEE"/>
    <w:rsid w:val="003F7C7A"/>
    <w:rsid w:val="00451E80"/>
    <w:rsid w:val="004A2BAC"/>
    <w:rsid w:val="0054409B"/>
    <w:rsid w:val="00553BBE"/>
    <w:rsid w:val="006357BF"/>
    <w:rsid w:val="006F462B"/>
    <w:rsid w:val="00833EB8"/>
    <w:rsid w:val="008E37B8"/>
    <w:rsid w:val="00903644"/>
    <w:rsid w:val="00905DF7"/>
    <w:rsid w:val="00941B2E"/>
    <w:rsid w:val="0097311D"/>
    <w:rsid w:val="009C4F41"/>
    <w:rsid w:val="009D2550"/>
    <w:rsid w:val="009D6E3F"/>
    <w:rsid w:val="00A152C2"/>
    <w:rsid w:val="00AA4B36"/>
    <w:rsid w:val="00AD16C3"/>
    <w:rsid w:val="00AF32B0"/>
    <w:rsid w:val="00AF6366"/>
    <w:rsid w:val="00B30CF1"/>
    <w:rsid w:val="00C05FA7"/>
    <w:rsid w:val="00CE1DB6"/>
    <w:rsid w:val="00D22F03"/>
    <w:rsid w:val="00D47509"/>
    <w:rsid w:val="00D870CD"/>
    <w:rsid w:val="00DC1A68"/>
    <w:rsid w:val="00DC3F3F"/>
    <w:rsid w:val="00DE1006"/>
    <w:rsid w:val="00E36D9E"/>
    <w:rsid w:val="00EB6CBD"/>
    <w:rsid w:val="00EC352F"/>
    <w:rsid w:val="00EC4D08"/>
    <w:rsid w:val="00F0599C"/>
    <w:rsid w:val="00F37DA8"/>
    <w:rsid w:val="00F86E0E"/>
    <w:rsid w:val="00FC1FB9"/>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563BE-19E0-4766-A1FB-CBF28C0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 w:type="paragraph" w:styleId="af1">
    <w:name w:val="Balloon Text"/>
    <w:basedOn w:val="a"/>
    <w:link w:val="af2"/>
    <w:uiPriority w:val="99"/>
    <w:semiHidden/>
    <w:unhideWhenUsed/>
    <w:rsid w:val="00DC1A6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C1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7C66-E858-4F52-B1C9-D242288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54</cp:revision>
  <cp:lastPrinted>2019-11-27T03:35:00Z</cp:lastPrinted>
  <dcterms:created xsi:type="dcterms:W3CDTF">2018-01-08T12:50:00Z</dcterms:created>
  <dcterms:modified xsi:type="dcterms:W3CDTF">2019-12-13T06:06:00Z</dcterms:modified>
</cp:coreProperties>
</file>