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AB803A0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bookmarkStart w:id="0" w:name="_GoBack"/>
      <w:bookmarkEnd w:id="0"/>
      <w:r w:rsidRPr="00E0654D">
        <w:rPr>
          <w:sz w:val="24"/>
        </w:rPr>
        <w:t xml:space="preserve">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6DF25A7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B85235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4BC0481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B85235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9001852"/>
      <w:bookmarkStart w:id="2" w:name="_Hlk182282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lastRenderedPageBreak/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упорно учиться этому искусству. Работая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</w:t>
      </w:r>
      <w:r w:rsidRPr="00670716">
        <w:lastRenderedPageBreak/>
        <w:t>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</w:t>
      </w:r>
      <w:r w:rsidRPr="00670716">
        <w:lastRenderedPageBreak/>
        <w:t xml:space="preserve">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lastRenderedPageBreak/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</w:t>
      </w:r>
      <w:r w:rsidRPr="00BC1D36">
        <w:rPr>
          <w:sz w:val="28"/>
          <w:szCs w:val="28"/>
        </w:rPr>
        <w:lastRenderedPageBreak/>
        <w:t>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0616" w14:textId="77777777" w:rsidR="006C56C1" w:rsidRDefault="006C56C1" w:rsidP="00847ADE">
      <w:pPr>
        <w:spacing w:after="0" w:line="240" w:lineRule="auto"/>
      </w:pPr>
      <w:r>
        <w:separator/>
      </w:r>
    </w:p>
  </w:endnote>
  <w:endnote w:type="continuationSeparator" w:id="0">
    <w:p w14:paraId="79D7AA1C" w14:textId="77777777" w:rsidR="006C56C1" w:rsidRDefault="006C56C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942E" w14:textId="77777777" w:rsidR="006C56C1" w:rsidRDefault="006C56C1" w:rsidP="00847ADE">
      <w:pPr>
        <w:spacing w:after="0" w:line="240" w:lineRule="auto"/>
      </w:pPr>
      <w:r>
        <w:separator/>
      </w:r>
    </w:p>
  </w:footnote>
  <w:footnote w:type="continuationSeparator" w:id="0">
    <w:p w14:paraId="3B422D1A" w14:textId="77777777" w:rsidR="006C56C1" w:rsidRDefault="006C56C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4C1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C56C1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12DC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85235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AA12-4CFD-4240-BFD4-8D2003A1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2019-11-15T08:59:00Z</dcterms:modified>
</cp:coreProperties>
</file>