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C22E62">
        <w:rPr>
          <w:b/>
          <w:bCs/>
          <w:sz w:val="28"/>
          <w:szCs w:val="28"/>
        </w:rPr>
        <w:t>преподавания литературы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B008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008D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>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C22E62">
        <w:rPr>
          <w:rFonts w:ascii="Times New Roman" w:eastAsia="Times New Roman" w:hAnsi="Times New Roman"/>
          <w:sz w:val="28"/>
          <w:szCs w:val="28"/>
        </w:rPr>
        <w:t>преп</w:t>
      </w:r>
      <w:r w:rsidR="00C22E62">
        <w:rPr>
          <w:rFonts w:ascii="Times New Roman" w:eastAsia="Times New Roman" w:hAnsi="Times New Roman"/>
          <w:sz w:val="28"/>
          <w:szCs w:val="28"/>
        </w:rPr>
        <w:t>о</w:t>
      </w:r>
      <w:r w:rsidR="00C22E62">
        <w:rPr>
          <w:rFonts w:ascii="Times New Roman" w:eastAsia="Times New Roman" w:hAnsi="Times New Roman"/>
          <w:sz w:val="28"/>
          <w:szCs w:val="28"/>
        </w:rPr>
        <w:t>давания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008D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0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 xml:space="preserve">рии </w:t>
      </w:r>
      <w:proofErr w:type="spellStart"/>
      <w:r w:rsidR="000035DC">
        <w:rPr>
          <w:sz w:val="28"/>
          <w:szCs w:val="28"/>
        </w:rPr>
        <w:t>лингвистического</w:t>
      </w:r>
      <w:proofErr w:type="gramStart"/>
      <w:r w:rsidR="000C343C">
        <w:rPr>
          <w:sz w:val="28"/>
          <w:szCs w:val="28"/>
        </w:rPr>
        <w:t>,э</w:t>
      </w:r>
      <w:proofErr w:type="gramEnd"/>
      <w:r w:rsidR="000C343C">
        <w:rPr>
          <w:sz w:val="28"/>
          <w:szCs w:val="28"/>
        </w:rPr>
        <w:t>тического</w:t>
      </w:r>
      <w:proofErr w:type="spellEnd"/>
      <w:r w:rsidR="000C343C">
        <w:rPr>
          <w:sz w:val="28"/>
          <w:szCs w:val="28"/>
        </w:rPr>
        <w:t xml:space="preserve">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0870EB" w:rsidRDefault="000870EB" w:rsidP="000870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870EB" w:rsidRDefault="000870EB" w:rsidP="000870E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Б.1.В.ОД.10 Детская литература, Б.1.В.ОД.14 История литературы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870EB" w:rsidRDefault="000870EB" w:rsidP="000870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7B49E0" w:rsidTr="007B49E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современных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ПК-2 способность </w:t>
            </w:r>
            <w:r>
              <w:rPr>
                <w:rFonts w:eastAsia="Times New Roman"/>
              </w:rPr>
              <w:lastRenderedPageBreak/>
              <w:t>использовать современные методы и технологии обучения и диагностики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B49E0" w:rsidRDefault="007B49E0" w:rsidP="007B49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Общая труд</w:t>
      </w:r>
      <w:r w:rsidR="00CE3B2A">
        <w:t>оемкость дисциплины составляет 6 зачетных единиц (2</w:t>
      </w:r>
      <w:r w:rsidR="003A1436">
        <w:t>52</w:t>
      </w:r>
      <w:r>
        <w:t xml:space="preserve"> академических часов).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7B49E0" w:rsidTr="007B49E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B49E0" w:rsidTr="007B49E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7B49E0">
              <w:rPr>
                <w:rFonts w:eastAsia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B49E0" w:rsidRDefault="007B49E0" w:rsidP="007B49E0">
      <w:pPr>
        <w:pStyle w:val="ReportMain"/>
        <w:suppressAutoHyphens/>
        <w:ind w:firstLine="709"/>
        <w:jc w:val="both"/>
        <w:rPr>
          <w:szCs w:val="20"/>
        </w:rPr>
      </w:pPr>
    </w:p>
    <w:p w:rsidR="007B49E0" w:rsidRDefault="007B49E0" w:rsidP="007B49E0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7B49E0" w:rsidRDefault="007B49E0" w:rsidP="007B49E0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7B49E0" w:rsidTr="007B49E0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</w:tbl>
    <w:p w:rsidR="007B49E0" w:rsidRDefault="007B49E0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преподавания литературы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Родной язык как средство становления </w:t>
      </w:r>
      <w:r>
        <w:rPr>
          <w:rFonts w:ascii="Calibri" w:eastAsia="Times New Roman" w:hAnsi="Calibri"/>
        </w:rPr>
        <w:lastRenderedPageBreak/>
        <w:t>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2" w:rsidRDefault="00273182" w:rsidP="00817BE6">
      <w:pPr>
        <w:spacing w:after="0" w:line="240" w:lineRule="auto"/>
      </w:pPr>
      <w:r>
        <w:separator/>
      </w:r>
    </w:p>
  </w:endnote>
  <w:end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3182" w:rsidRDefault="00420519">
        <w:pPr>
          <w:pStyle w:val="a7"/>
          <w:jc w:val="center"/>
        </w:pPr>
        <w:fldSimple w:instr="PAGE   \* MERGEFORMAT">
          <w:r w:rsidR="00B008DE">
            <w:rPr>
              <w:noProof/>
            </w:rPr>
            <w:t>3</w:t>
          </w:r>
        </w:fldSimple>
      </w:p>
    </w:sdtContent>
  </w:sdt>
  <w:p w:rsidR="00273182" w:rsidRDefault="00273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2" w:rsidRDefault="00273182" w:rsidP="00817BE6">
      <w:pPr>
        <w:spacing w:after="0" w:line="240" w:lineRule="auto"/>
      </w:pPr>
      <w:r>
        <w:separator/>
      </w:r>
    </w:p>
  </w:footnote>
  <w:foot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3115-582F-4316-A094-6ECB356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27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2019-04-08T14:54:00Z</dcterms:modified>
</cp:coreProperties>
</file>