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3" w:rsidRPr="000A05D3" w:rsidRDefault="00BD68B3" w:rsidP="00BD68B3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BD68B3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«Б.1ДВ.</w:t>
      </w:r>
      <w:r w:rsidR="00BD68B3">
        <w:rPr>
          <w:i/>
          <w:szCs w:val="28"/>
        </w:rPr>
        <w:t>2.</w:t>
      </w:r>
      <w:r>
        <w:rPr>
          <w:i/>
          <w:szCs w:val="28"/>
        </w:rPr>
        <w:t>1</w:t>
      </w:r>
      <w:r w:rsidR="004C4342">
        <w:rPr>
          <w:i/>
          <w:szCs w:val="28"/>
        </w:rPr>
        <w:t xml:space="preserve">  Техники и технологии игровой деятельности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F464FB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C00521">
        <w:rPr>
          <w:i/>
          <w:sz w:val="24"/>
          <w:u w:val="single"/>
        </w:rPr>
        <w:t>образование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F23EBB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5F437C" w:rsidRPr="00F23EBB"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игровой деятельности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F23EBB" w:rsidRPr="00F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184606" w:rsidRPr="00C00521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B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лей, видов самостоятельной работы студентов, указания по организация вн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аудиторной самостоятельной работы, разъяснения о промежуточной аттест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игровой деятельности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464FB" w:rsidRDefault="00A91AD6" w:rsidP="00F464FB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C44925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C44925" w:rsidRPr="00C449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C44925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C44925" w:rsidRPr="00C449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4C7CA2">
        <w:rPr>
          <w:rFonts w:ascii="Times New Roman" w:hAnsi="Times New Roman"/>
          <w:sz w:val="28"/>
          <w:szCs w:val="28"/>
        </w:rPr>
        <w:t>логии игровой деятельности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1E335E">
        <w:rPr>
          <w:rFonts w:ascii="Times New Roman" w:hAnsi="Times New Roman"/>
          <w:sz w:val="28"/>
          <w:szCs w:val="28"/>
        </w:rPr>
        <w:t>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>Техники итехнологии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 технологии игровой деятельности»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F3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</w:t>
      </w:r>
      <w:r w:rsidR="00F3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3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игровой деятельности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6852A6">
        <w:rPr>
          <w:sz w:val="28"/>
          <w:szCs w:val="28"/>
        </w:rPr>
        <w:t>Разделы дисциплины, изучаемые в 8 семестре</w:t>
      </w: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4961"/>
        <w:gridCol w:w="851"/>
        <w:gridCol w:w="708"/>
        <w:gridCol w:w="426"/>
        <w:gridCol w:w="567"/>
        <w:gridCol w:w="992"/>
      </w:tblGrid>
      <w:tr w:rsidR="00FB1E44" w:rsidRPr="006852A6" w:rsidTr="00FB1E44">
        <w:trPr>
          <w:tblHeader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№ раздела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Количество часов</w:t>
            </w:r>
          </w:p>
        </w:tc>
      </w:tr>
      <w:tr w:rsidR="00FB1E44" w:rsidRPr="006852A6" w:rsidTr="00FB1E44">
        <w:trPr>
          <w:tblHeader/>
        </w:trPr>
        <w:tc>
          <w:tcPr>
            <w:tcW w:w="90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аудиторная</w:t>
            </w:r>
          </w:p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внеауд. работа</w:t>
            </w:r>
          </w:p>
        </w:tc>
      </w:tr>
      <w:tr w:rsidR="00FB1E44" w:rsidRPr="006852A6" w:rsidTr="00FB1E44">
        <w:trPr>
          <w:tblHeader/>
        </w:trPr>
        <w:tc>
          <w:tcPr>
            <w:tcW w:w="90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B1E44" w:rsidRPr="006852A6" w:rsidTr="00FB1E44">
        <w:tc>
          <w:tcPr>
            <w:tcW w:w="90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Игра - ведущий вид деятельности детей дошкольного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FB1E44">
        <w:tc>
          <w:tcPr>
            <w:tcW w:w="90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Функции и роль игровых технологий в образовательном процессе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FB1E44">
        <w:tc>
          <w:tcPr>
            <w:tcW w:w="90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134</w:t>
            </w:r>
          </w:p>
        </w:tc>
      </w:tr>
    </w:tbl>
    <w:p w:rsidR="00FB1E44" w:rsidRPr="006852A6" w:rsidRDefault="00FB1E44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6852A6">
        <w:rPr>
          <w:sz w:val="28"/>
          <w:szCs w:val="28"/>
        </w:rPr>
        <w:t>Разделы дисциплины, изучаемые в 9 семестре</w:t>
      </w: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4819"/>
        <w:gridCol w:w="851"/>
        <w:gridCol w:w="708"/>
        <w:gridCol w:w="426"/>
        <w:gridCol w:w="567"/>
        <w:gridCol w:w="992"/>
      </w:tblGrid>
      <w:tr w:rsidR="00FB1E44" w:rsidRPr="006852A6" w:rsidTr="006852A6">
        <w:trPr>
          <w:tblHeader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6852A6">
              <w:rPr>
                <w:sz w:val="28"/>
                <w:szCs w:val="28"/>
              </w:rPr>
              <w:t>№ раздела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Количество часов</w:t>
            </w:r>
          </w:p>
        </w:tc>
      </w:tr>
      <w:tr w:rsidR="00FB1E44" w:rsidRPr="006852A6" w:rsidTr="006852A6">
        <w:trPr>
          <w:tblHeader/>
        </w:trPr>
        <w:tc>
          <w:tcPr>
            <w:tcW w:w="1044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аудиторная</w:t>
            </w:r>
          </w:p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внеауд. работа</w:t>
            </w:r>
          </w:p>
        </w:tc>
      </w:tr>
      <w:bookmarkEnd w:id="5"/>
      <w:tr w:rsidR="00FB1E44" w:rsidRPr="006852A6" w:rsidTr="006852A6">
        <w:trPr>
          <w:tblHeader/>
        </w:trPr>
        <w:tc>
          <w:tcPr>
            <w:tcW w:w="1044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bookmarkEnd w:id="3"/>
      <w:bookmarkEnd w:id="4"/>
      <w:bookmarkEnd w:id="6"/>
      <w:bookmarkEnd w:id="7"/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Классификационые параметры игровых технлогий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Особенности использования игровых технологий в образовательном процессе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134</w:t>
            </w:r>
          </w:p>
        </w:tc>
      </w:tr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288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268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A521FC">
        <w:rPr>
          <w:b/>
          <w:sz w:val="28"/>
          <w:szCs w:val="28"/>
        </w:rPr>
        <w:t>Игра-ведущий вид деятельности детей дошкольного возраста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852A6" w:rsidRPr="006852A6">
        <w:rPr>
          <w:sz w:val="28"/>
          <w:szCs w:val="28"/>
        </w:rPr>
        <w:t>Ребенок - субъект игроовй деятельности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852A6" w:rsidRPr="006852A6">
        <w:rPr>
          <w:sz w:val="28"/>
          <w:szCs w:val="28"/>
        </w:rPr>
        <w:t>Пути обогащения содержания игры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852A6" w:rsidRPr="006852A6">
        <w:rPr>
          <w:sz w:val="28"/>
          <w:szCs w:val="28"/>
        </w:rPr>
        <w:t>Ролевая игра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B1E44" w:rsidRPr="00FB1E44" w:rsidRDefault="00FB1E44" w:rsidP="00FB1E44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FB1E44">
        <w:rPr>
          <w:sz w:val="28"/>
          <w:szCs w:val="28"/>
        </w:rPr>
        <w:t xml:space="preserve">Значение игры для разностороннего развития личности ребенка. Воспитательные и развивающие функции игры дошкольника. Ребенок творец и субъект собственной игровой деятельности. Педагогическое значение </w:t>
      </w:r>
      <w:r w:rsidRPr="00FB1E44">
        <w:rPr>
          <w:sz w:val="28"/>
          <w:szCs w:val="28"/>
        </w:rPr>
        <w:lastRenderedPageBreak/>
        <w:t>содержание игры. Пути обогащения содержания игры: отражение в сюжете окружающей действительности, содержания книг, кино- и теле сюжетов, мультфильмов, личного опыта ребенка.Мотивы выбора игры.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A521FC">
        <w:rPr>
          <w:b/>
          <w:sz w:val="28"/>
          <w:szCs w:val="28"/>
        </w:rPr>
        <w:t>Функции и роль игровых технологий в образовательном процессе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Функции игровых технологий в образовательном процессе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Роль игровых технологий в образовательном процессе</w:t>
      </w:r>
    </w:p>
    <w:p w:rsidR="00B0774D" w:rsidRP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Компоненты сюжетно-ролевой игры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FB1E44" w:rsidRPr="00FB1E44" w:rsidRDefault="00FB1E44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Цели, мотивы, средства реализации,планомерные действия, результат игры. Педагогические условия развития детских игр: охрана времени игр в общем режиме дня; создание материально-предметной среды; обогащение содержания знаний о процессах труда взрослых, о взаимоотношениях взро</w:t>
      </w:r>
      <w:r w:rsidRPr="00FB1E44">
        <w:rPr>
          <w:rFonts w:ascii="Times New Roman" w:hAnsi="Times New Roman" w:cs="Times New Roman"/>
          <w:sz w:val="28"/>
          <w:szCs w:val="28"/>
        </w:rPr>
        <w:t>с</w:t>
      </w:r>
      <w:r w:rsidRPr="00FB1E44">
        <w:rPr>
          <w:rFonts w:ascii="Times New Roman" w:hAnsi="Times New Roman" w:cs="Times New Roman"/>
          <w:sz w:val="28"/>
          <w:szCs w:val="28"/>
        </w:rPr>
        <w:t>лых в труде; формирование игровых навыков. Компоненты сюжетно-ролевой игры: игровоедействие с использованием реальных предметов и предметов-заместителей, роль (образ), сюжет, тема. Орнаментальные компоненты игры: язык игры: понятийность (речевой словарь); музыка, ритмика, игровые же</w:t>
      </w:r>
      <w:r w:rsidRPr="00FB1E44">
        <w:rPr>
          <w:rFonts w:ascii="Times New Roman" w:hAnsi="Times New Roman" w:cs="Times New Roman"/>
          <w:sz w:val="28"/>
          <w:szCs w:val="28"/>
        </w:rPr>
        <w:t>с</w:t>
      </w:r>
      <w:r w:rsidRPr="00FB1E44">
        <w:rPr>
          <w:rFonts w:ascii="Times New Roman" w:hAnsi="Times New Roman" w:cs="Times New Roman"/>
          <w:sz w:val="28"/>
          <w:szCs w:val="28"/>
        </w:rPr>
        <w:t>ты; фольклорные говорилки, жеребьевки, дразнилки, речевые подковырки, игровые аксессуары (костюмы, бутафория, атрибуты).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A521FC">
        <w:rPr>
          <w:b/>
          <w:sz w:val="28"/>
          <w:szCs w:val="28"/>
        </w:rPr>
        <w:t>Классификационные параметры игровых технологий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Коммуникативная игра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Функция самореализации человека в игре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FB1E44">
        <w:rPr>
          <w:sz w:val="28"/>
          <w:szCs w:val="28"/>
        </w:rPr>
        <w:t>Игровые технологии - составная часть педагогических технологий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</w:p>
    <w:p w:rsid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Игровые технологии - составная часть педагогических технологий. Проблема применения игровых технологий в образовательном процессе в педагогической теории и практики. Разработка теории игры, ее методолог</w:t>
      </w:r>
      <w:r w:rsidRPr="00FB1E44">
        <w:rPr>
          <w:rFonts w:ascii="Times New Roman" w:hAnsi="Times New Roman" w:cs="Times New Roman"/>
          <w:sz w:val="28"/>
          <w:szCs w:val="28"/>
        </w:rPr>
        <w:t>и</w:t>
      </w:r>
      <w:r w:rsidRPr="00FB1E44">
        <w:rPr>
          <w:rFonts w:ascii="Times New Roman" w:hAnsi="Times New Roman" w:cs="Times New Roman"/>
          <w:sz w:val="28"/>
          <w:szCs w:val="28"/>
        </w:rPr>
        <w:t>ческих основ, ее социальная природа, значение для развития обучаемого в отечественной педагогике (Л. С. Выготский, А.Н. Леонтьев, Д.Б. Эльконин и др.). Социокультурное назначение игры. Функция межнациональной комм</w:t>
      </w:r>
      <w:r w:rsidRPr="00FB1E44">
        <w:rPr>
          <w:rFonts w:ascii="Times New Roman" w:hAnsi="Times New Roman" w:cs="Times New Roman"/>
          <w:sz w:val="28"/>
          <w:szCs w:val="28"/>
        </w:rPr>
        <w:t>у</w:t>
      </w:r>
      <w:r w:rsidRPr="00FB1E44">
        <w:rPr>
          <w:rFonts w:ascii="Times New Roman" w:hAnsi="Times New Roman" w:cs="Times New Roman"/>
          <w:sz w:val="28"/>
          <w:szCs w:val="28"/>
        </w:rPr>
        <w:t>никации. Функция самореализации человека в игре. Коммуникативная игра. Диагностическая функция игры. Игротерапевтическая функция игры. Фун</w:t>
      </w:r>
      <w:r w:rsidRPr="00FB1E44">
        <w:rPr>
          <w:rFonts w:ascii="Times New Roman" w:hAnsi="Times New Roman" w:cs="Times New Roman"/>
          <w:sz w:val="28"/>
          <w:szCs w:val="28"/>
        </w:rPr>
        <w:t>к</w:t>
      </w:r>
      <w:r w:rsidRPr="00FB1E44">
        <w:rPr>
          <w:rFonts w:ascii="Times New Roman" w:hAnsi="Times New Roman" w:cs="Times New Roman"/>
          <w:sz w:val="28"/>
          <w:szCs w:val="28"/>
        </w:rPr>
        <w:t>ция коррекции в игре. Развлекательная функция игры.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B1E4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B1E44">
        <w:rPr>
          <w:rFonts w:ascii="Times New Roman" w:hAnsi="Times New Roman" w:cs="Times New Roman"/>
          <w:b/>
          <w:bCs/>
          <w:sz w:val="28"/>
          <w:szCs w:val="28"/>
        </w:rPr>
        <w:t>Особенности использования игровых технологий в образ</w:t>
      </w:r>
      <w:r w:rsidRPr="00FB1E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B1E44">
        <w:rPr>
          <w:rFonts w:ascii="Times New Roman" w:hAnsi="Times New Roman" w:cs="Times New Roman"/>
          <w:b/>
          <w:bCs/>
          <w:sz w:val="28"/>
          <w:szCs w:val="28"/>
        </w:rPr>
        <w:t>вательном процессе.</w:t>
      </w:r>
    </w:p>
    <w:p w:rsidR="006852A6" w:rsidRDefault="006852A6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0774D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B0774D" w:rsidRPr="00536036" w:rsidRDefault="00B0774D" w:rsidP="00B0774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lastRenderedPageBreak/>
        <w:t>Вопросы.</w:t>
      </w:r>
    </w:p>
    <w:p w:rsidR="00B0774D" w:rsidRPr="00D73A5D" w:rsidRDefault="00B0774D" w:rsidP="00B0774D">
      <w:pPr>
        <w:pStyle w:val="ReportMain"/>
        <w:suppressAutoHyphens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Передача опыта старших поколений младшим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r w:rsidRPr="00B0774D">
        <w:rPr>
          <w:sz w:val="28"/>
          <w:szCs w:val="28"/>
        </w:rPr>
        <w:t>Реализация игровых технологий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r w:rsidRPr="00B0774D">
        <w:rPr>
          <w:sz w:val="28"/>
          <w:szCs w:val="28"/>
        </w:rPr>
        <w:t>Реализация игровых технологий для освоения понятий</w:t>
      </w:r>
    </w:p>
    <w:p w:rsidR="00B0774D" w:rsidRDefault="00B0774D" w:rsidP="00B0774D">
      <w:pPr>
        <w:pStyle w:val="ReportMain"/>
        <w:suppressAutoHyphens/>
        <w:jc w:val="both"/>
        <w:rPr>
          <w:sz w:val="28"/>
          <w:szCs w:val="28"/>
        </w:rPr>
      </w:pPr>
    </w:p>
    <w:p w:rsidR="00FB1E44" w:rsidRPr="00FB1E44" w:rsidRDefault="00FB1E44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B1E44">
        <w:rPr>
          <w:sz w:val="28"/>
          <w:szCs w:val="28"/>
        </w:rPr>
        <w:t>Игра как метод обучения, передачи опыта старших поколений младшим. Широкое применение игры: в качестве самостоятельных технологий для освоения понятия, темы и даже раздела учебного предмета;•как элемент более общей технологии; в качестве занятия или его части (введение, контроль); как технология внеурочной работы.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</w:t>
      </w:r>
      <w:r w:rsidRPr="00536036">
        <w:rPr>
          <w:sz w:val="28"/>
          <w:szCs w:val="28"/>
        </w:rPr>
        <w:lastRenderedPageBreak/>
        <w:t>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5D" w:rsidRDefault="000E695D" w:rsidP="00817BE6">
      <w:pPr>
        <w:spacing w:after="0" w:line="240" w:lineRule="auto"/>
      </w:pPr>
      <w:r>
        <w:separator/>
      </w:r>
    </w:p>
  </w:endnote>
  <w:endnote w:type="continuationSeparator" w:id="0">
    <w:p w:rsidR="000E695D" w:rsidRDefault="000E695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521FC" w:rsidRDefault="005331F9">
        <w:pPr>
          <w:pStyle w:val="a7"/>
          <w:jc w:val="center"/>
        </w:pPr>
        <w:fldSimple w:instr="PAGE   \* MERGEFORMAT">
          <w:r w:rsidR="00F464FB">
            <w:rPr>
              <w:noProof/>
            </w:rPr>
            <w:t>3</w:t>
          </w:r>
        </w:fldSimple>
      </w:p>
    </w:sdtContent>
  </w:sdt>
  <w:p w:rsidR="00A521FC" w:rsidRDefault="00A52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5D" w:rsidRDefault="000E695D" w:rsidP="00817BE6">
      <w:pPr>
        <w:spacing w:after="0" w:line="240" w:lineRule="auto"/>
      </w:pPr>
      <w:r>
        <w:separator/>
      </w:r>
    </w:p>
  </w:footnote>
  <w:footnote w:type="continuationSeparator" w:id="0">
    <w:p w:rsidR="000E695D" w:rsidRDefault="000E695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630A"/>
    <w:rsid w:val="00047218"/>
    <w:rsid w:val="00067BE2"/>
    <w:rsid w:val="00074BB1"/>
    <w:rsid w:val="000845A3"/>
    <w:rsid w:val="00090B2C"/>
    <w:rsid w:val="000C625F"/>
    <w:rsid w:val="000D5B64"/>
    <w:rsid w:val="000E2B93"/>
    <w:rsid w:val="000E373B"/>
    <w:rsid w:val="000E6280"/>
    <w:rsid w:val="000E62FF"/>
    <w:rsid w:val="000E695D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10845"/>
    <w:rsid w:val="005331F9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D6A4B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4977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2D5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B0572D"/>
    <w:rsid w:val="00B0774D"/>
    <w:rsid w:val="00B17495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C00521"/>
    <w:rsid w:val="00C021A9"/>
    <w:rsid w:val="00C03F94"/>
    <w:rsid w:val="00C070D1"/>
    <w:rsid w:val="00C102D0"/>
    <w:rsid w:val="00C25F14"/>
    <w:rsid w:val="00C44925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220A5"/>
    <w:rsid w:val="00F23EBB"/>
    <w:rsid w:val="00F3154B"/>
    <w:rsid w:val="00F33499"/>
    <w:rsid w:val="00F35BA8"/>
    <w:rsid w:val="00F371A8"/>
    <w:rsid w:val="00F42881"/>
    <w:rsid w:val="00F464FB"/>
    <w:rsid w:val="00F46FAD"/>
    <w:rsid w:val="00F55296"/>
    <w:rsid w:val="00F84A76"/>
    <w:rsid w:val="00F9022B"/>
    <w:rsid w:val="00F9259C"/>
    <w:rsid w:val="00FB1804"/>
    <w:rsid w:val="00FB1E4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4EB6-319E-442D-94B4-1215A9CD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26</Pages>
  <Words>8214</Words>
  <Characters>46823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315</cp:revision>
  <cp:lastPrinted>2016-10-27T10:34:00Z</cp:lastPrinted>
  <dcterms:created xsi:type="dcterms:W3CDTF">2016-10-09T16:26:00Z</dcterms:created>
  <dcterms:modified xsi:type="dcterms:W3CDTF">2019-04-16T06:56:00Z</dcterms:modified>
</cp:coreProperties>
</file>