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E46086" w:rsidP="00C6106F">
      <w:pPr>
        <w:pStyle w:val="ReportHead"/>
        <w:suppressAutoHyphens/>
        <w:rPr>
          <w:i/>
          <w:sz w:val="24"/>
          <w:u w:val="single"/>
        </w:rPr>
      </w:pPr>
      <w:r>
        <w:rPr>
          <w:i/>
          <w:sz w:val="24"/>
          <w:u w:val="single"/>
        </w:rPr>
        <w:t>Информатика</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Программа академического бакалавриата</w:t>
      </w:r>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E07528">
        <w:rPr>
          <w:rFonts w:ascii="Times New Roman" w:eastAsia="Times New Roman" w:hAnsi="Times New Roman" w:cs="Times New Roman"/>
          <w:sz w:val="28"/>
          <w:szCs w:val="28"/>
        </w:rPr>
        <w:t>20</w:t>
      </w:r>
      <w:bookmarkStart w:id="0" w:name="_GoBack"/>
      <w:bookmarkEnd w:id="0"/>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E46086">
        <w:rPr>
          <w:rFonts w:ascii="Times New Roman" w:eastAsia="Calibri" w:hAnsi="Times New Roman" w:cs="Times New Roman"/>
          <w:sz w:val="28"/>
          <w:szCs w:val="20"/>
        </w:rPr>
        <w:t>Информ</w:t>
      </w:r>
      <w:r w:rsidR="00E46086">
        <w:rPr>
          <w:rFonts w:ascii="Times New Roman" w:eastAsia="Calibri" w:hAnsi="Times New Roman" w:cs="Times New Roman"/>
          <w:sz w:val="28"/>
          <w:szCs w:val="20"/>
        </w:rPr>
        <w:t>а</w:t>
      </w:r>
      <w:r w:rsidR="00E46086">
        <w:rPr>
          <w:rFonts w:ascii="Times New Roman" w:eastAsia="Calibri" w:hAnsi="Times New Roman" w:cs="Times New Roman"/>
          <w:sz w:val="28"/>
          <w:szCs w:val="20"/>
        </w:rPr>
        <w:t>тика</w:t>
      </w:r>
      <w:r w:rsidR="00C6106F">
        <w:rPr>
          <w:rFonts w:ascii="Times New Roman" w:eastAsia="Times New Roman" w:hAnsi="Times New Roman" w:cs="Times New Roman"/>
          <w:sz w:val="28"/>
          <w:szCs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393166">
        <w:rPr>
          <w:rFonts w:ascii="Times New Roman" w:eastAsia="Calibri" w:hAnsi="Times New Roman" w:cs="Times New Roman"/>
          <w:sz w:val="24"/>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Г.В.Лейбниц</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w:t>
      </w:r>
      <w:r w:rsidRPr="007F5EAD">
        <w:rPr>
          <w:color w:val="000000"/>
          <w:sz w:val="28"/>
          <w:szCs w:val="28"/>
        </w:rPr>
        <w:t>м</w:t>
      </w:r>
      <w:r w:rsidRPr="007F5EAD">
        <w:rPr>
          <w:color w:val="000000"/>
          <w:sz w:val="28"/>
          <w:szCs w:val="28"/>
        </w:rPr>
        <w:t>ленность;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r w:rsidRPr="007F5EAD">
        <w:rPr>
          <w:color w:val="000000"/>
          <w:sz w:val="28"/>
          <w:szCs w:val="28"/>
        </w:rPr>
        <w:t>ов),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ского. Lend-lease составлено из двух слов - lend - давать взаймы и lease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невечна,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вонный, а затем шарлаховый,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маться своим делом. Перефразируют это выражение так «Человеку человеково,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боту роботово».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изралитянам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мое важное, существенное, жизненно необходимое. Из молитвы в Евангелии: «Хлеб наш насущный даждь нам дниев»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ем, вдруг соседка идет, идет прямо к отцу... А я ей, такая была, так и говорю: «Я что ты, Олена,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ходит к моему старшему брату, поклонилась и грит: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су отлопатил, взяла я, стала подавать свою косу. Он меня и поддразнил: «Хе,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вать. И вот закроют и эту дыру, кругом-то того закрепят, замажут, шобы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ходил. И вот крепко пиво, а пониже одеть ко дну-ту этот гвоздь, коды то набирають,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онной отзвучкой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t>Чугунн… рельс, запасн… путь, черн… клавиш, </w:t>
      </w:r>
      <w:r w:rsidRPr="00895DD5">
        <w:rPr>
          <w:rFonts w:ascii="Times New Roman" w:hAnsi="Times New Roman" w:cs="Times New Roman"/>
          <w:b/>
          <w:bCs/>
          <w:color w:val="000000"/>
          <w:sz w:val="28"/>
          <w:szCs w:val="28"/>
        </w:rPr>
        <w:t>избирательн…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концертн… зал, лаков… туфля, вкусн… студень (-я), </w:t>
      </w:r>
      <w:r w:rsidRPr="00895DD5">
        <w:rPr>
          <w:rFonts w:ascii="Times New Roman" w:hAnsi="Times New Roman" w:cs="Times New Roman"/>
          <w:b/>
          <w:bCs/>
          <w:color w:val="000000"/>
          <w:sz w:val="28"/>
          <w:szCs w:val="28"/>
        </w:rPr>
        <w:t>заказн…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поперечн… просека, бабушкин… калоша, кожан… ботинок, густ… вуаль </w:t>
      </w:r>
      <w:r w:rsidRPr="00895DD5">
        <w:rPr>
          <w:rFonts w:ascii="Times New Roman" w:hAnsi="Times New Roman" w:cs="Times New Roman"/>
          <w:i/>
          <w:iCs/>
          <w:color w:val="000000"/>
          <w:sz w:val="28"/>
          <w:szCs w:val="28"/>
        </w:rPr>
        <w:t>(-и),</w:t>
      </w:r>
      <w:r w:rsidRPr="00895DD5">
        <w:rPr>
          <w:rFonts w:ascii="Times New Roman" w:hAnsi="Times New Roman" w:cs="Times New Roman"/>
          <w:b/>
          <w:bCs/>
          <w:color w:val="000000"/>
          <w:sz w:val="28"/>
          <w:szCs w:val="28"/>
        </w:rPr>
        <w:t>яблочн…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цветн… фильм, ва… плацкарта, эт… табель (-я), маленьк…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t>Маршрутн… такси, трамвайн… депо, </w:t>
      </w:r>
      <w:r w:rsidRPr="00895DD5">
        <w:rPr>
          <w:rFonts w:ascii="Times New Roman" w:hAnsi="Times New Roman" w:cs="Times New Roman"/>
          <w:b/>
          <w:bCs/>
          <w:color w:val="000000"/>
          <w:sz w:val="28"/>
          <w:szCs w:val="28"/>
        </w:rPr>
        <w:t>великолепн</w:t>
      </w:r>
      <w:r w:rsidRPr="00895DD5">
        <w:rPr>
          <w:rFonts w:ascii="Times New Roman" w:hAnsi="Times New Roman" w:cs="Times New Roman"/>
          <w:color w:val="000000"/>
          <w:sz w:val="28"/>
          <w:szCs w:val="28"/>
        </w:rPr>
        <w:t>… шоссе, драпов… пальто, 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 кашне, тетин… пенсне, справочн… бюро, горяч… какао, </w:t>
      </w:r>
      <w:r w:rsidRPr="00895DD5">
        <w:rPr>
          <w:rFonts w:ascii="Times New Roman" w:hAnsi="Times New Roman" w:cs="Times New Roman"/>
          <w:b/>
          <w:bCs/>
          <w:color w:val="000000"/>
          <w:sz w:val="28"/>
          <w:szCs w:val="28"/>
        </w:rPr>
        <w:t>натуральн…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r w:rsidRPr="00895DD5">
        <w:rPr>
          <w:rFonts w:ascii="Times New Roman" w:hAnsi="Times New Roman" w:cs="Times New Roman"/>
          <w:b/>
          <w:bCs/>
          <w:color w:val="000000"/>
          <w:sz w:val="28"/>
          <w:szCs w:val="28"/>
        </w:rPr>
        <w:t>авторитетн… жюри</w:t>
      </w:r>
      <w:r w:rsidRPr="00895DD5">
        <w:rPr>
          <w:rFonts w:ascii="Times New Roman" w:hAnsi="Times New Roman" w:cs="Times New Roman"/>
          <w:color w:val="000000"/>
          <w:sz w:val="28"/>
          <w:szCs w:val="28"/>
        </w:rPr>
        <w:t>, военн… атташе, </w:t>
      </w:r>
      <w:r w:rsidRPr="00895DD5">
        <w:rPr>
          <w:rFonts w:ascii="Times New Roman" w:hAnsi="Times New Roman" w:cs="Times New Roman"/>
          <w:b/>
          <w:bCs/>
          <w:color w:val="000000"/>
          <w:sz w:val="28"/>
          <w:szCs w:val="28"/>
        </w:rPr>
        <w:t>правительственн</w:t>
      </w:r>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Короленко, Черных, Квитко, Лысенко, Борисенко, Ирина Павлюк,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ко, Борзых, Слепян, Амбарцумян, Бетховен, Сагателян,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2A" w:rsidRDefault="00DE7A2A" w:rsidP="00B24C3E">
      <w:pPr>
        <w:spacing w:after="0" w:line="240" w:lineRule="auto"/>
      </w:pPr>
      <w:r>
        <w:separator/>
      </w:r>
    </w:p>
  </w:endnote>
  <w:endnote w:type="continuationSeparator" w:id="0">
    <w:p w:rsidR="00DE7A2A" w:rsidRDefault="00DE7A2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7528">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2A" w:rsidRDefault="00DE7A2A" w:rsidP="00B24C3E">
      <w:pPr>
        <w:spacing w:after="0" w:line="240" w:lineRule="auto"/>
      </w:pPr>
      <w:r>
        <w:separator/>
      </w:r>
    </w:p>
  </w:footnote>
  <w:footnote w:type="continuationSeparator" w:id="0">
    <w:p w:rsidR="00DE7A2A" w:rsidRDefault="00DE7A2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3A17"/>
    <w:rsid w:val="00AC7B1D"/>
    <w:rsid w:val="00AF4E6F"/>
    <w:rsid w:val="00B13AF4"/>
    <w:rsid w:val="00B24C3E"/>
    <w:rsid w:val="00B53282"/>
    <w:rsid w:val="00B60219"/>
    <w:rsid w:val="00B975DB"/>
    <w:rsid w:val="00BF1120"/>
    <w:rsid w:val="00C16BC8"/>
    <w:rsid w:val="00C253D3"/>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DE7A2A"/>
    <w:rsid w:val="00E07528"/>
    <w:rsid w:val="00E46086"/>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1474-0760-425B-9106-522E3B7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36</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2020-09-15T14:53:00Z</dcterms:modified>
</cp:coreProperties>
</file>