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72" w:rsidRPr="00BD5572" w:rsidRDefault="00BD5572" w:rsidP="00BD5572">
      <w:pPr>
        <w:pStyle w:val="ReportHead"/>
        <w:suppressAutoHyphens/>
        <w:rPr>
          <w:sz w:val="24"/>
        </w:rPr>
      </w:pPr>
      <w:r w:rsidRPr="00BD5572">
        <w:rPr>
          <w:sz w:val="24"/>
        </w:rPr>
        <w:t>Минобрнауки России</w:t>
      </w:r>
    </w:p>
    <w:p w:rsidR="00BD5572" w:rsidRPr="00BD5572" w:rsidRDefault="00BD5572" w:rsidP="00BD5572">
      <w:pPr>
        <w:pStyle w:val="ReportHead"/>
        <w:suppressAutoHyphens/>
        <w:rPr>
          <w:sz w:val="24"/>
        </w:rPr>
      </w:pP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Бузулукский гуманитарно-технологический институт (филиал)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>высшего образования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5572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5572" w:rsidRPr="00BD5572" w:rsidRDefault="00BD5572" w:rsidP="00BD55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5572">
        <w:rPr>
          <w:rFonts w:ascii="Times New Roman" w:hAnsi="Times New Roman" w:cs="Times New Roman"/>
          <w:sz w:val="24"/>
        </w:rPr>
        <w:t xml:space="preserve">Кафедра </w:t>
      </w:r>
      <w:r w:rsidR="00ED2DE3">
        <w:rPr>
          <w:rFonts w:ascii="Times New Roman" w:hAnsi="Times New Roman" w:cs="Times New Roman"/>
          <w:sz w:val="24"/>
        </w:rPr>
        <w:t>юриспруденции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jc w:val="left"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Pr="00BD5572" w:rsidRDefault="00BD5572" w:rsidP="00BD5572">
      <w:pPr>
        <w:pStyle w:val="ReportHead"/>
        <w:suppressAutoHyphens/>
        <w:spacing w:before="120"/>
      </w:pPr>
      <w:r w:rsidRPr="00BD5572">
        <w:t>МЕТОДИЧЕСКИЕ УКАЗАНИЯ ПО ОСВОЕНИЮ</w:t>
      </w:r>
    </w:p>
    <w:p w:rsidR="00BD5572" w:rsidRDefault="00BD5572" w:rsidP="00BD557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D5572" w:rsidRDefault="00BD5572" w:rsidP="00BD557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«Б.1.В.ОД.7 Наследственное право»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D5572" w:rsidRDefault="00BD5572" w:rsidP="00BD557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D5572" w:rsidRDefault="00BD5572" w:rsidP="00BD557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BD5572" w:rsidRDefault="00BD5572" w:rsidP="00BD557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BD5572" w:rsidRDefault="00BD5572" w:rsidP="00BD557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D5572" w:rsidRDefault="00BD5572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D5572" w:rsidRDefault="00BD5572" w:rsidP="00BD557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D5572" w:rsidRDefault="000A5A06" w:rsidP="00BD557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</w:t>
      </w:r>
      <w:r w:rsidR="000B1F91">
        <w:rPr>
          <w:i/>
          <w:sz w:val="24"/>
          <w:u w:val="single"/>
        </w:rPr>
        <w:t>ао</w:t>
      </w:r>
      <w:r w:rsidR="00BD5572">
        <w:rPr>
          <w:i/>
          <w:sz w:val="24"/>
          <w:u w:val="single"/>
        </w:rPr>
        <w:t>чная</w:t>
      </w:r>
    </w:p>
    <w:p w:rsidR="00BD5572" w:rsidRDefault="00BD5572" w:rsidP="00BD5572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BD5572" w:rsidP="00BD5572">
      <w:pPr>
        <w:pStyle w:val="ReportHead"/>
        <w:suppressAutoHyphens/>
        <w:rPr>
          <w:sz w:val="24"/>
        </w:rPr>
      </w:pPr>
    </w:p>
    <w:p w:rsidR="00BD5572" w:rsidRDefault="002D253A" w:rsidP="00BD5572">
      <w:pPr>
        <w:pStyle w:val="ReportHead"/>
        <w:suppressAutoHyphens/>
        <w:rPr>
          <w:sz w:val="24"/>
        </w:rPr>
        <w:sectPr w:rsidR="00BD5572" w:rsidSect="002D50F9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>
        <w:rPr>
          <w:sz w:val="24"/>
        </w:rPr>
        <w:t>Год набора 2020</w:t>
      </w:r>
    </w:p>
    <w:p w:rsidR="00BD5572" w:rsidRPr="003E1FF3" w:rsidRDefault="00BD5572" w:rsidP="00BD5572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Наследственное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2D253A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2012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BD5572" w:rsidRPr="003E1FF3" w:rsidRDefault="00AF4355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</w:t>
      </w:r>
      <w:r w:rsidR="002D25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1" w:name="_GoBack"/>
      <w:bookmarkEnd w:id="1"/>
      <w:r w:rsidR="00BD5572"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572" w:rsidRPr="003E1FF3" w:rsidRDefault="00BD5572" w:rsidP="00BD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0A5A06">
        <w:rPr>
          <w:rFonts w:ascii="Times New Roman" w:eastAsia="Calibri" w:hAnsi="Times New Roman" w:cs="Times New Roman"/>
          <w:sz w:val="24"/>
          <w:szCs w:val="24"/>
          <w:lang w:eastAsia="en-US"/>
        </w:rPr>
        <w:t>очно-</w:t>
      </w:r>
      <w:r w:rsidR="000B1F91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E1F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BD5572" w:rsidRPr="003E1FF3" w:rsidRDefault="00BD5572" w:rsidP="00BD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Pr="003E1FF3" w:rsidRDefault="00BD5572" w:rsidP="00BD5572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право».</w:t>
      </w: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2" w:rsidRDefault="00BD5572" w:rsidP="00BD5572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 w:rsidR="0008186F">
        <w:rPr>
          <w:rFonts w:ascii="Times New Roman" w:eastAsiaTheme="minorHAnsi" w:hAnsi="Times New Roman"/>
          <w:sz w:val="24"/>
          <w:szCs w:val="24"/>
        </w:rPr>
        <w:t>…………….</w:t>
      </w:r>
      <w:r w:rsidR="0045682A">
        <w:rPr>
          <w:rFonts w:ascii="Times New Roman" w:eastAsiaTheme="minorHAnsi" w:hAnsi="Times New Roman"/>
          <w:sz w:val="24"/>
          <w:szCs w:val="24"/>
        </w:rPr>
        <w:t>……….4</w:t>
      </w:r>
    </w:p>
    <w:p w:rsidR="00570C3E" w:rsidRPr="0008186F" w:rsidRDefault="00570C3E" w:rsidP="0008186F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 w:rsidR="0008186F">
        <w:rPr>
          <w:rFonts w:ascii="Times New Roman" w:eastAsiaTheme="minorHAnsi" w:hAnsi="Times New Roman"/>
          <w:sz w:val="24"/>
          <w:szCs w:val="24"/>
        </w:rPr>
        <w:t>………………...</w:t>
      </w:r>
      <w:r w:rsidR="0045682A">
        <w:rPr>
          <w:rFonts w:ascii="Times New Roman" w:eastAsiaTheme="minorHAnsi" w:hAnsi="Times New Roman"/>
          <w:sz w:val="24"/>
          <w:szCs w:val="24"/>
        </w:rPr>
        <w:t>……5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 w:rsidR="0008186F">
        <w:rPr>
          <w:rFonts w:ascii="Times New Roman" w:hAnsi="Times New Roman" w:cs="Times New Roman"/>
          <w:sz w:val="24"/>
          <w:szCs w:val="24"/>
        </w:rPr>
        <w:t>……………..</w:t>
      </w:r>
      <w:r w:rsidR="0045682A">
        <w:rPr>
          <w:rFonts w:ascii="Times New Roman" w:hAnsi="Times New Roman" w:cs="Times New Roman"/>
          <w:sz w:val="24"/>
          <w:szCs w:val="24"/>
        </w:rPr>
        <w:t>6</w:t>
      </w:r>
    </w:p>
    <w:p w:rsidR="00570C3E" w:rsidRPr="0008186F" w:rsidRDefault="00570C3E" w:rsidP="000818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</w:t>
      </w:r>
      <w:r w:rsidR="000A5A06">
        <w:rPr>
          <w:rFonts w:ascii="Times New Roman" w:hAnsi="Times New Roman" w:cs="Times New Roman"/>
          <w:sz w:val="24"/>
          <w:szCs w:val="24"/>
        </w:rPr>
        <w:t>иплины ….</w:t>
      </w:r>
      <w:r w:rsidR="0008186F">
        <w:rPr>
          <w:rFonts w:ascii="Times New Roman" w:hAnsi="Times New Roman" w:cs="Times New Roman"/>
          <w:sz w:val="24"/>
          <w:szCs w:val="24"/>
        </w:rPr>
        <w:t>…</w:t>
      </w:r>
      <w:r w:rsidR="0045682A">
        <w:rPr>
          <w:rFonts w:ascii="Times New Roman" w:hAnsi="Times New Roman" w:cs="Times New Roman"/>
          <w:sz w:val="24"/>
          <w:szCs w:val="24"/>
        </w:rPr>
        <w:t>….6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 w:rsidR="000A5A06">
        <w:rPr>
          <w:rFonts w:ascii="Times New Roman" w:hAnsi="Times New Roman" w:cs="Times New Roman"/>
          <w:sz w:val="24"/>
          <w:szCs w:val="24"/>
        </w:rPr>
        <w:t>8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 w:rsidR="0008186F">
        <w:rPr>
          <w:rFonts w:ascii="Times New Roman" w:hAnsi="Times New Roman" w:cs="Times New Roman"/>
          <w:sz w:val="24"/>
          <w:szCs w:val="24"/>
        </w:rPr>
        <w:t>………………</w:t>
      </w:r>
      <w:r w:rsidR="000A5A06">
        <w:rPr>
          <w:rFonts w:ascii="Times New Roman" w:hAnsi="Times New Roman" w:cs="Times New Roman"/>
          <w:sz w:val="24"/>
          <w:szCs w:val="24"/>
        </w:rPr>
        <w:t>…9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 w:rsidR="000A5A06">
        <w:rPr>
          <w:rFonts w:ascii="Times New Roman" w:hAnsi="Times New Roman" w:cs="Times New Roman"/>
          <w:sz w:val="24"/>
          <w:szCs w:val="24"/>
        </w:rPr>
        <w:t>2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 w:rsidR="000A5A06">
        <w:rPr>
          <w:rFonts w:ascii="Times New Roman" w:hAnsi="Times New Roman" w:cs="Times New Roman"/>
          <w:sz w:val="24"/>
          <w:szCs w:val="24"/>
        </w:rPr>
        <w:t>2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 w:rsidR="0008186F"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 w:rsidR="000A5A06">
        <w:rPr>
          <w:rFonts w:ascii="Times New Roman" w:hAnsi="Times New Roman" w:cs="Times New Roman"/>
          <w:sz w:val="24"/>
          <w:szCs w:val="24"/>
        </w:rPr>
        <w:t>13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и проведению обучения в интерактивных формах…………………………………………………………</w:t>
      </w:r>
      <w:r w:rsidR="0008186F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0A5A06">
        <w:rPr>
          <w:rFonts w:ascii="Times New Roman" w:hAnsi="Times New Roman" w:cs="Times New Roman"/>
          <w:sz w:val="24"/>
          <w:szCs w:val="24"/>
        </w:rPr>
        <w:t>14</w:t>
      </w:r>
    </w:p>
    <w:p w:rsidR="00570C3E" w:rsidRPr="0008186F" w:rsidRDefault="00570C3E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 w:rsidR="000A5A06">
        <w:rPr>
          <w:rFonts w:ascii="Times New Roman" w:hAnsi="Times New Roman" w:cs="Times New Roman"/>
          <w:sz w:val="24"/>
          <w:szCs w:val="24"/>
        </w:rPr>
        <w:t>8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</w:t>
      </w:r>
      <w:r w:rsidR="00B55F22" w:rsidRPr="0008186F">
        <w:rPr>
          <w:rFonts w:ascii="Times New Roman" w:hAnsi="Times New Roman" w:cs="Times New Roman"/>
          <w:sz w:val="24"/>
          <w:szCs w:val="24"/>
        </w:rPr>
        <w:t>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 w:rsidR="0008186F">
        <w:rPr>
          <w:rFonts w:ascii="Times New Roman" w:hAnsi="Times New Roman" w:cs="Times New Roman"/>
          <w:sz w:val="24"/>
          <w:szCs w:val="24"/>
        </w:rPr>
        <w:t>......................</w:t>
      </w:r>
      <w:r w:rsidR="000A5A06">
        <w:rPr>
          <w:rFonts w:ascii="Times New Roman" w:hAnsi="Times New Roman" w:cs="Times New Roman"/>
          <w:sz w:val="24"/>
          <w:szCs w:val="24"/>
        </w:rPr>
        <w:t>16</w:t>
      </w:r>
    </w:p>
    <w:p w:rsidR="00570C3E" w:rsidRPr="0008186F" w:rsidRDefault="000A5A06" w:rsidP="0008186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70C3E"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70C3E" w:rsidRPr="0008186F">
        <w:rPr>
          <w:rFonts w:ascii="Times New Roman" w:hAnsi="Times New Roman" w:cs="Times New Roman"/>
          <w:sz w:val="24"/>
          <w:szCs w:val="24"/>
        </w:rPr>
        <w:t>……</w:t>
      </w:r>
      <w:r w:rsidR="0008186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70C3E" w:rsidRPr="00570C3E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D9E" w:rsidRPr="00570C3E" w:rsidRDefault="00E36D9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06" w:rsidRDefault="000A5A06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06" w:rsidRDefault="000A5A06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2A" w:rsidRPr="00570C3E" w:rsidRDefault="0045682A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BD5572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570C3E" w:rsidRPr="00570C3E" w:rsidRDefault="00DE2A3B" w:rsidP="00570C3E">
      <w:pPr>
        <w:pStyle w:val="ReportMain"/>
        <w:suppressAutoHyphens/>
        <w:ind w:left="-567" w:right="-143" w:firstLine="709"/>
        <w:jc w:val="both"/>
        <w:rPr>
          <w:b/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>освоения дисциплины: формирование у обучающихся системных представлений о содержании наследственного права как подотрасли гражданского права и профессиональных компетенций, направленных на развитие способностей юридически правильно квалифицировать факты и обстоятельства, как основания для возникновения, изменения и прекращения наследственных правоотношений, давать квалифицированные юридические заключения и консультации в области наследственного права.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«Наследственное право»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наследования в правоприменительной практике.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«Наследственное право»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 (проводится в четвертом семестре – до начала изучения дисциплины);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70C3E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2.</w:t>
      </w:r>
      <w:r w:rsidR="00BD557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Виды аудиторной и внеаудиторной самостоятельной работы студентов по дисциплине</w:t>
      </w:r>
    </w:p>
    <w:p w:rsidR="00570C3E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0A5A06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0A5A06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Наследственное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Наследственное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BD5572" w:rsidRDefault="00BD5572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BD5572" w:rsidRDefault="00BD5572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0B1F91" w:rsidRPr="00DE2A3B" w:rsidRDefault="000B1F91" w:rsidP="000B1F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0A5A06">
      <w:pPr>
        <w:pStyle w:val="a6"/>
        <w:numPr>
          <w:ilvl w:val="1"/>
          <w:numId w:val="37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426" w:firstLine="568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0A5A06">
        <w:rPr>
          <w:b/>
        </w:rPr>
        <w:t>3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F22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и вопросы к практическим занятиям</w:t>
      </w:r>
    </w:p>
    <w:p w:rsidR="00B55F22" w:rsidRPr="000843CB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C40F49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F49">
        <w:rPr>
          <w:rFonts w:ascii="Times New Roman" w:hAnsi="Times New Roman" w:cs="Times New Roman"/>
          <w:b/>
          <w:sz w:val="24"/>
          <w:szCs w:val="24"/>
        </w:rPr>
        <w:t>Раздел 1 Общие положения о наследовании</w:t>
      </w:r>
      <w:r w:rsidRPr="00C40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F22" w:rsidRDefault="00B55F22" w:rsidP="00B55F2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1.1 Понятие, источники, принципы наследственного права. 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1Правовое регулирование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2Понятие, принципы наследственного права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3Наследование за рубежом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Наследственные правоотношения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Становление и развитие наследственного права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Понятие, основания возникновения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Содержание наследственных правоотношений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1.3 Открытие наследства.  Принятие и отказ от наследства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элементы открытия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Способы и правовые последствия принятия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Способы и правовые последствия отказа от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2. Наследование по завещанию и по закону</w:t>
      </w:r>
      <w:r w:rsidRPr="00646C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2.1 Наследование по завещанию: общая характеристика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B7277C">
        <w:rPr>
          <w:i/>
        </w:rPr>
        <w:t>Вопросы для устного собеседования</w:t>
      </w:r>
      <w:r w:rsidRPr="00B7277C">
        <w:t xml:space="preserve"> </w:t>
      </w:r>
      <w:r w:rsidRPr="00B7277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правовая природа завещания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Свобода завещания и ее ограничение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3 Виды завещаний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 xml:space="preserve">Тема 2.2 Виды завещаний 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Нотариально удостоверенные завещания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Завещания, приравненные к нотариально удостоверенным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Закрытые завещания</w:t>
      </w:r>
    </w:p>
    <w:p w:rsidR="00B55F22" w:rsidRPr="00646C9C" w:rsidRDefault="00B55F22" w:rsidP="00B55F22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6C9C">
        <w:rPr>
          <w:rFonts w:ascii="Times New Roman" w:hAnsi="Times New Roman"/>
          <w:sz w:val="24"/>
          <w:szCs w:val="24"/>
        </w:rPr>
        <w:t>Завещания, составленные в чрезвычайных обстоятельствах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2.3 Отмена, изменение завещания. Признание завещания недействительным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Способы изменения завещания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Способы и правовые последствия отмены завещания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Признание завещания недействительным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2.4 Завещательные распоряжения наследодателя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Завещательный отказ и завещательное возложение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lastRenderedPageBreak/>
        <w:t>2 Завещательное распоряжение правами на денежные средства в банке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Иные завещательные распоряжения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2.5 Н</w:t>
      </w:r>
      <w:r w:rsidRPr="000945AC">
        <w:rPr>
          <w:rFonts w:ascii="Times New Roman" w:hAnsi="Times New Roman" w:cs="Times New Roman"/>
          <w:b/>
          <w:snapToGrid w:val="0"/>
          <w:sz w:val="24"/>
          <w:szCs w:val="24"/>
        </w:rPr>
        <w:t>аследование по закону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 наследования по закону в России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Наследование по закону за рубежом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Правила наследования по закону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Очередность наследования по закону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 Проблемы наследования по закону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6 Наследование по праву представления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7 Наследование иждивенцами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8 Наследование выморочного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3 Оформление прав на наследство.  Охрана и управление наследственным имуществом</w:t>
      </w: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3.1 Оформление прав на наследство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значение свидетельства о праве на наследство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2 Порядок выдачи свидетельства о праве на наследство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Сроки выдачи свидетельства о праве на наследство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3.2 Раздел наследственной массы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способы раздела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Внесудебные способы раздела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Судебный способ раздела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Понятие преимущественных прав при разделе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5 Особенности реализации преимущественного права при разделе наследства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 Учет интересов отдельных категорий граждан при разделе наследства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0945A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3.3 Охрана наследством и управление наследственным имуществом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Понятие, основания принятия мер к охране наследственного имущества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Содержание мер охраны наследственного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Передача на хранение наследственного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Основания заключения договора доверительного управления наследственным имуществом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5 Содержание правомочий участников отношений в сфере доверительного управления наследственным имуществом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9C">
        <w:rPr>
          <w:rFonts w:ascii="Times New Roman" w:hAnsi="Times New Roman" w:cs="Times New Roman"/>
          <w:b/>
          <w:sz w:val="24"/>
          <w:szCs w:val="24"/>
        </w:rPr>
        <w:t>Раздел 4 Наследование отдельных видов движимого имущества</w:t>
      </w:r>
    </w:p>
    <w:p w:rsidR="00B55F22" w:rsidRPr="000945AC" w:rsidRDefault="00B55F22" w:rsidP="00B55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AC">
        <w:rPr>
          <w:rFonts w:ascii="Times New Roman" w:hAnsi="Times New Roman" w:cs="Times New Roman"/>
          <w:b/>
          <w:sz w:val="24"/>
          <w:szCs w:val="24"/>
        </w:rPr>
        <w:t>Тема 4.1 Наследование движимого и недвижимого имущества, наследование прав</w:t>
      </w:r>
    </w:p>
    <w:p w:rsidR="00B55F22" w:rsidRDefault="00B55F22" w:rsidP="00B55F22">
      <w:pPr>
        <w:pStyle w:val="a6"/>
        <w:tabs>
          <w:tab w:val="left" w:pos="993"/>
        </w:tabs>
        <w:spacing w:before="0" w:beforeAutospacing="0" w:after="0" w:afterAutospacing="0"/>
        <w:jc w:val="both"/>
        <w:rPr>
          <w:i/>
        </w:rPr>
      </w:pPr>
      <w:r w:rsidRPr="000945AC">
        <w:rPr>
          <w:i/>
        </w:rPr>
        <w:t>Вопросы для устного собеседования</w:t>
      </w:r>
      <w:r w:rsidRPr="000945AC">
        <w:t xml:space="preserve"> </w:t>
      </w:r>
      <w:r w:rsidRPr="000945AC">
        <w:rPr>
          <w:i/>
        </w:rPr>
        <w:t>(семинара)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1 Наследование денежных средств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 Наследование наград и почетных знаков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 Наследование транспортных средств и иного имущества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 xml:space="preserve">4 Наследование предприятий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 Наследование земельных участков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 Наследование имущества, обремененного завещательным отказом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lastRenderedPageBreak/>
        <w:t xml:space="preserve">7 Наследование прав, связанных с участием в хозяйственных товариществах и обществах </w:t>
      </w:r>
    </w:p>
    <w:p w:rsidR="00B55F22" w:rsidRPr="000A5A06" w:rsidRDefault="00B55F22" w:rsidP="000A5A06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5A06">
        <w:rPr>
          <w:rFonts w:ascii="Times New Roman" w:hAnsi="Times New Roman"/>
          <w:sz w:val="24"/>
          <w:szCs w:val="24"/>
        </w:rPr>
        <w:t xml:space="preserve">Наследование интеллектуальных прав </w:t>
      </w:r>
    </w:p>
    <w:p w:rsidR="00B55F22" w:rsidRPr="00646C9C" w:rsidRDefault="00B55F22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3E" w:rsidRPr="007A4689" w:rsidRDefault="000A5A06" w:rsidP="000A5A06">
      <w:pPr>
        <w:pStyle w:val="a6"/>
        <w:tabs>
          <w:tab w:val="left" w:pos="993"/>
          <w:tab w:val="left" w:pos="1134"/>
          <w:tab w:val="left" w:pos="4020"/>
        </w:tabs>
        <w:spacing w:before="0" w:beforeAutospacing="0" w:after="0" w:afterAutospacing="0"/>
        <w:ind w:left="-426"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3.4 </w:t>
      </w:r>
      <w:r w:rsidR="00570C3E"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A5A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A5A06">
        <w:rPr>
          <w:rFonts w:ascii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</w:t>
      </w:r>
      <w:r w:rsidR="00BD5572">
        <w:rPr>
          <w:rFonts w:ascii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sz w:val="24"/>
          <w:szCs w:val="24"/>
        </w:rPr>
        <w:t xml:space="preserve">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A5A06">
        <w:rPr>
          <w:rFonts w:ascii="Times New Roman" w:hAnsi="Times New Roman" w:cs="Times New Roman"/>
          <w:b/>
          <w:sz w:val="24"/>
          <w:szCs w:val="24"/>
        </w:rPr>
        <w:t>7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 по организации и проведению обучения в интерактивных формах</w:t>
      </w:r>
      <w:r w:rsidRPr="00006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22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c1"/>
          <w:rFonts w:eastAsiaTheme="minorHAnsi"/>
          <w:b/>
          <w:color w:val="000000"/>
        </w:rPr>
      </w:pPr>
      <w:r>
        <w:rPr>
          <w:rStyle w:val="c1"/>
          <w:rFonts w:eastAsiaTheme="minorHAnsi"/>
          <w:b/>
          <w:color w:val="000000"/>
        </w:rPr>
        <w:t>Тема 2.1 «</w:t>
      </w:r>
      <w:r w:rsidRPr="00DE12F3">
        <w:rPr>
          <w:rStyle w:val="c1"/>
          <w:rFonts w:eastAsiaTheme="minorHAnsi"/>
          <w:b/>
          <w:color w:val="000000"/>
        </w:rPr>
        <w:t>Наследование по завещанию: общая характеристика</w:t>
      </w:r>
      <w:r>
        <w:rPr>
          <w:rStyle w:val="c1"/>
          <w:rFonts w:eastAsiaTheme="minorHAnsi"/>
          <w:b/>
          <w:color w:val="000000"/>
        </w:rPr>
        <w:t>»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 xml:space="preserve">Ход </w:t>
      </w:r>
      <w:r>
        <w:rPr>
          <w:rStyle w:val="c1"/>
          <w:rFonts w:eastAsiaTheme="minorHAnsi"/>
          <w:color w:val="000000"/>
        </w:rPr>
        <w:t>занятия</w:t>
      </w:r>
      <w:r w:rsidRPr="00DE12F3">
        <w:rPr>
          <w:rStyle w:val="c1"/>
          <w:rFonts w:eastAsiaTheme="minorHAnsi"/>
          <w:color w:val="000000"/>
        </w:rPr>
        <w:t>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1. Организационный момент.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2. Формулировка задания.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Обучающиеся делятся на 4 группы, каждая из которых – адвокатская контора. Название своей конторы группы придумывают и указывают его на бланке ответного «письма клиенту». Внутри группы распределяют роли: старший адвокат (начальник бюро), адвокаты и 1-2 секретаря.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Обязанности: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старший адвокат – принимает окончательное решение по спорным вопросам, организует работу всего бюро;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адвокаты – производят анализ «казуса», аргументируют его с точки зрения нормативно-правовых актов (ГК);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секретари – формулируют и оформляют письменный ответ «клиенту, приславшему «казус».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Правила игры: В каждую контору пришло по 2 письма с вопросами, касающимися получения наследства. Необходимо в течение 20 (приблизительно) минут проанализировать «казус» и дать клиентам письменный аргументированный ответ на фирменном бланке своего бюро.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1"/>
          <w:rFonts w:eastAsiaTheme="minorHAnsi"/>
          <w:color w:val="000000"/>
        </w:rPr>
        <w:t>3. Проверка задания.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После получения конвертов с ответами, производится проверка правильности выполнения заданий: письма зачитываются преподавателем или «спикером» (вначале без указания бюро-исполнителя), всеми желающими высказываются оценки точности, грамотности, аргументированности ответов.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 w:rsidRPr="00DE12F3">
        <w:rPr>
          <w:rStyle w:val="c2"/>
          <w:color w:val="000000"/>
        </w:rPr>
        <w:t>4. </w:t>
      </w:r>
      <w:r w:rsidRPr="00DE12F3">
        <w:rPr>
          <w:rStyle w:val="c1"/>
          <w:rFonts w:eastAsiaTheme="minorHAnsi"/>
          <w:color w:val="000000"/>
        </w:rPr>
        <w:t>Подведения итогов и рефлексия.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Выставление отметок за правильное и частично правильно выполненные задания (все участники одного и того же бюро получают одинаковую отметку).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Устная беседа: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Как работа в группе повлияла на выполнение задания?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Что вызвало трудности в работе?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color w:val="000000"/>
        </w:rPr>
      </w:pPr>
      <w:r w:rsidRPr="00DE12F3">
        <w:rPr>
          <w:rStyle w:val="c4"/>
          <w:bCs/>
          <w:color w:val="000000"/>
        </w:rPr>
        <w:t>Приложение:</w:t>
      </w:r>
    </w:p>
    <w:p w:rsidR="00B55F22" w:rsidRPr="00DE12F3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color w:val="000000"/>
        </w:rPr>
      </w:pPr>
      <w:r w:rsidRPr="00DE12F3">
        <w:rPr>
          <w:rStyle w:val="c10"/>
          <w:bCs/>
          <w:color w:val="000000"/>
        </w:rPr>
        <w:t>«Казусы»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1. Новожилов, находясь в больнице, составил завещание. Согласно которому все свое имущество оставил жене и своему брату. Это завещание было удостоверено врачом больницы. Как следует разделить наследственное имущество? Правомерно ли это завещание?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2. Иванова, выйдя замуж за Пятина, всю жизнь не работала, а вела домашнее хозяйство и воспитывала детей, родившихся в этом браке. Через три года после достижения ею пенсионного возраста муж умер. В нотариальной конторе она узнала, что все их совместное имущество муж завещал приятелю Горохову.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Имеет ли Иванова в данной ситуации право на наследование?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3. Ивакин несколько раз был женат, в браке у него родилось двое сыновей. После его смерти о правах на наследство заявили его родители, бывшие жены и сыновья. Кто будет иметь право наследования по закону?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4. Смирнов передал закрытое завещание нотариусу. Когда Смирнов умер, нотариус в присутствии заинтересованных лиц - жены, невестки, дочери от первого брака, внука и внучки вскрыл завещание. В конверте оказался пустой лист.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Определите судьбу наследственного имущества.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5. . Паршин жил на отдаленном хуторе. Уже несколько лет о нем никто ничего не знал. В 1998 г. на хутор приехал его сын А. Паршин. Поиски С. Паршина результатов не дали. А Паршин и его сестра Викулова обратились в суд с заявлением об объявлении отца умершим. Такое решение было вынесено 11 марта 2002 г. и вступило в законную силу 21 марта этого же года. Однако 15 марта А. Паршин по</w:t>
      </w:r>
      <w:r>
        <w:rPr>
          <w:rStyle w:val="c5"/>
          <w:rFonts w:eastAsia="Calibri"/>
          <w:color w:val="000000"/>
        </w:rPr>
        <w:softHyphen/>
        <w:t>гиб. Между Викуловой и вдовой А. Паршина возник спор о том, кто из них и на какую часть наследства С. Паршина имеет право.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Определите время открытия наследства С. Паршина и А. Паршина? 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Кто из претендующих на наследство С. Паршина вправе получить это наследство?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6. Кротов завещал имущество жене и сыну без указания долей.                              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Как должно быть разделено наследственное имущество?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7. Ладожский завещал все свое имущество своей знакомой Пархоменко, отказав в наследстве жене и 13-летнему сыну.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В суде, куда обратилась жена Ладожского после его смерти, выяснилось, что она нетрудоспособна, так как является инвалидом первой группы, а их сын не достиг совершеннолетия. Других наследников в семье нет. Как решить дело?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8. 17 июля 2006 г. скоропостижно скончался Петров. Завещания он не оставил. На его наследство претендуют: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1. Иван, племянник умершего, сын умершей ранее сестры Петрова.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lastRenderedPageBreak/>
        <w:t>2. Сидорова, 53 лет - гражданская жена, которая последние 7 лет проживала с Петровым и на</w:t>
      </w:r>
      <w:r>
        <w:rPr>
          <w:rStyle w:val="c5"/>
          <w:rFonts w:eastAsia="Calibri"/>
          <w:color w:val="000000"/>
        </w:rPr>
        <w:softHyphen/>
        <w:t>ходилась на его полном иждивении, поскольку в возрасте 48 лет она ушла с работы по требованию Петрова и доходов не имела.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3. Анна, совершеннолетняя трудоспособная дочь Петрова.</w:t>
      </w:r>
    </w:p>
    <w:p w:rsidR="00B55F22" w:rsidRDefault="00B55F22" w:rsidP="00B55F22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</w:rPr>
        <w:t>К какой очереди наследников по закону относятся претенденты на наследство, открывшееся после смерти Петрова? Имеет ли право на наследство Сидорова? На какую часть наследства имеет право каждый из перечисленных лиц?</w:t>
      </w:r>
    </w:p>
    <w:p w:rsidR="00B55F22" w:rsidRPr="000843CB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F22" w:rsidRPr="00DE12F3" w:rsidRDefault="00B55F22" w:rsidP="00B55F22">
      <w:pPr>
        <w:pStyle w:val="a6"/>
        <w:spacing w:before="0" w:beforeAutospacing="0" w:after="0" w:afterAutospacing="0"/>
        <w:ind w:left="-567" w:firstLine="709"/>
        <w:rPr>
          <w:b/>
        </w:rPr>
      </w:pPr>
      <w:r w:rsidRPr="00DE12F3">
        <w:rPr>
          <w:b/>
        </w:rPr>
        <w:t>Тема 3.2 Раздел наследственной массы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  <w:jc w:val="both"/>
      </w:pPr>
      <w:r w:rsidRPr="000843CB">
        <w:t xml:space="preserve">Фабула дела: После смерти гражданина Иванова 1.02.2012 года, к нотариусу обратились его наследники: жена (брак зарегистрирован), сын от первого брака, дочь от второго брака, падчерица (6лет), брат (инвалид 1группы, которому при жизни Иванов оплачивал квартиру, питание, одежду, медицинскую помощь). 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  <w:jc w:val="both"/>
      </w:pPr>
      <w:r w:rsidRPr="000843CB">
        <w:t>Из договора стало известно о следующем имуществе: дом (70г. постройки) в деревне (документов нет), -земельный участок принадлежащий на праве пожизненного наследуемого владения, -квартира в совместной собственности, автомобиль, приобретенный до брака, но жена управляла автомобилем.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55026C">
        <w:t>Цель деловой игры:</w:t>
      </w:r>
      <w:r w:rsidRPr="000843CB">
        <w:t xml:space="preserve"> определить наследников, их доли в наследственной массе, а так же порядок доказывания родства.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Кроме этого, студенты должны знать какие документы должны быть представлены нотариусу для получения свидетельства.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Студентов необходимо разделить на 3 группы: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1 группа – осуществляют функции нотариуса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2 группа – представляют интересы сына и брата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3 группа – представляют интересы жены, дочери и падчерицы.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Вариант: Иванов при жизни завещал сыну дом и земельный участок,</w:t>
      </w:r>
      <w:r w:rsidR="00BD5572">
        <w:t xml:space="preserve"> </w:t>
      </w:r>
      <w:r w:rsidRPr="000843CB">
        <w:t>а дочь умирает: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а) 30.01.2012г.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б) 01.02.2012г.</w:t>
      </w:r>
    </w:p>
    <w:p w:rsidR="00B55F22" w:rsidRPr="000843CB" w:rsidRDefault="00B55F22" w:rsidP="00B55F22">
      <w:pPr>
        <w:pStyle w:val="a6"/>
        <w:spacing w:before="0" w:beforeAutospacing="0" w:after="0" w:afterAutospacing="0"/>
        <w:ind w:left="-567" w:firstLine="709"/>
      </w:pPr>
      <w:r w:rsidRPr="000843CB">
        <w:t>в) 02.02.2012г. (дочь проживает самостоятельно).</w:t>
      </w:r>
    </w:p>
    <w:p w:rsidR="00B55F22" w:rsidRPr="000843CB" w:rsidRDefault="00B55F22" w:rsidP="00B55F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CB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занятия преподаватель проводит анализ действий участников процесса, обозначает выявленные ошибки.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7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A5A06">
        <w:rPr>
          <w:rFonts w:ascii="Times New Roman" w:hAnsi="Times New Roman" w:cs="Times New Roman"/>
          <w:b/>
          <w:sz w:val="24"/>
          <w:szCs w:val="24"/>
        </w:rPr>
        <w:t>8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</w:t>
      </w:r>
    </w:p>
    <w:p w:rsidR="00BD5572" w:rsidRDefault="00BD5572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0A5A06" w:rsidP="000A5A06">
      <w:pPr>
        <w:pStyle w:val="a6"/>
        <w:spacing w:before="0" w:beforeAutospacing="0" w:after="0" w:afterAutospacing="0"/>
        <w:ind w:left="568" w:right="-143"/>
        <w:contextualSpacing/>
        <w:jc w:val="both"/>
        <w:rPr>
          <w:b/>
        </w:rPr>
      </w:pPr>
      <w:r>
        <w:rPr>
          <w:b/>
        </w:rPr>
        <w:t>3.9</w:t>
      </w:r>
      <w:r w:rsidR="00874ECC">
        <w:rPr>
          <w:b/>
        </w:rPr>
        <w:t xml:space="preserve">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AB" w:rsidRDefault="00CD06AB" w:rsidP="009C4F41">
      <w:pPr>
        <w:spacing w:after="0" w:line="240" w:lineRule="auto"/>
      </w:pPr>
      <w:r>
        <w:separator/>
      </w:r>
    </w:p>
  </w:endnote>
  <w:endnote w:type="continuationSeparator" w:id="0">
    <w:p w:rsidR="00CD06AB" w:rsidRDefault="00CD06AB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1422"/>
      <w:docPartObj>
        <w:docPartGallery w:val="Page Numbers (Bottom of Page)"/>
        <w:docPartUnique/>
      </w:docPartObj>
    </w:sdtPr>
    <w:sdtEndPr/>
    <w:sdtContent>
      <w:p w:rsidR="00570C3E" w:rsidRDefault="00570C3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C3E" w:rsidRDefault="00570C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AB" w:rsidRDefault="00CD06AB" w:rsidP="009C4F41">
      <w:pPr>
        <w:spacing w:after="0" w:line="240" w:lineRule="auto"/>
      </w:pPr>
      <w:r>
        <w:separator/>
      </w:r>
    </w:p>
  </w:footnote>
  <w:footnote w:type="continuationSeparator" w:id="0">
    <w:p w:rsidR="00CD06AB" w:rsidRDefault="00CD06AB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8930FAE"/>
    <w:multiLevelType w:val="multilevel"/>
    <w:tmpl w:val="6960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9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0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B1600E"/>
    <w:multiLevelType w:val="hybridMultilevel"/>
    <w:tmpl w:val="F48EAA06"/>
    <w:lvl w:ilvl="0" w:tplc="EA3202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28"/>
  </w:num>
  <w:num w:numId="35">
    <w:abstractNumId w:val="20"/>
  </w:num>
  <w:num w:numId="36">
    <w:abstractNumId w:val="10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06A73"/>
    <w:rsid w:val="000202A4"/>
    <w:rsid w:val="00066C27"/>
    <w:rsid w:val="0008186F"/>
    <w:rsid w:val="000A5A06"/>
    <w:rsid w:val="000B1F91"/>
    <w:rsid w:val="00190959"/>
    <w:rsid w:val="001E2E2D"/>
    <w:rsid w:val="001F4384"/>
    <w:rsid w:val="002700DD"/>
    <w:rsid w:val="00270221"/>
    <w:rsid w:val="002D253A"/>
    <w:rsid w:val="00317B12"/>
    <w:rsid w:val="00330CB3"/>
    <w:rsid w:val="003430B9"/>
    <w:rsid w:val="00343E17"/>
    <w:rsid w:val="003838DE"/>
    <w:rsid w:val="0039738D"/>
    <w:rsid w:val="003A318A"/>
    <w:rsid w:val="003F7C7A"/>
    <w:rsid w:val="0045682A"/>
    <w:rsid w:val="0050244F"/>
    <w:rsid w:val="00570C3E"/>
    <w:rsid w:val="00584F3C"/>
    <w:rsid w:val="00643C1C"/>
    <w:rsid w:val="006E4684"/>
    <w:rsid w:val="006E495E"/>
    <w:rsid w:val="006F462B"/>
    <w:rsid w:val="00707A67"/>
    <w:rsid w:val="007A4689"/>
    <w:rsid w:val="007D53D3"/>
    <w:rsid w:val="00842EE7"/>
    <w:rsid w:val="00874ECC"/>
    <w:rsid w:val="00941B2E"/>
    <w:rsid w:val="00960AC2"/>
    <w:rsid w:val="0097311D"/>
    <w:rsid w:val="009C4F41"/>
    <w:rsid w:val="009D15CD"/>
    <w:rsid w:val="009D6E3F"/>
    <w:rsid w:val="009F22C4"/>
    <w:rsid w:val="00A3780A"/>
    <w:rsid w:val="00AD16C3"/>
    <w:rsid w:val="00AE2245"/>
    <w:rsid w:val="00AF4355"/>
    <w:rsid w:val="00B55F22"/>
    <w:rsid w:val="00BD5572"/>
    <w:rsid w:val="00BF5CA0"/>
    <w:rsid w:val="00C05FA7"/>
    <w:rsid w:val="00CD06AB"/>
    <w:rsid w:val="00D322AE"/>
    <w:rsid w:val="00D47509"/>
    <w:rsid w:val="00DE2A3B"/>
    <w:rsid w:val="00E36D9E"/>
    <w:rsid w:val="00E4055A"/>
    <w:rsid w:val="00E41834"/>
    <w:rsid w:val="00ED2DE3"/>
    <w:rsid w:val="00F17C50"/>
    <w:rsid w:val="00F17FF5"/>
    <w:rsid w:val="00F37DA8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E98F-A868-4471-ABF1-5DB4FD5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44ED-871A-4DDA-AAB5-C3806B7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2</cp:revision>
  <cp:lastPrinted>2019-10-13T18:25:00Z</cp:lastPrinted>
  <dcterms:created xsi:type="dcterms:W3CDTF">2020-09-01T05:58:00Z</dcterms:created>
  <dcterms:modified xsi:type="dcterms:W3CDTF">2020-09-01T05:58:00Z</dcterms:modified>
</cp:coreProperties>
</file>