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03.01 Педагогическое образование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B270F" w:rsidRDefault="00FB270F" w:rsidP="00FB270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2 Место дисциплины в структуре образовательной программы</w:t>
      </w:r>
    </w:p>
    <w:p w:rsidR="00FB270F" w:rsidRDefault="00FB270F" w:rsidP="00FB270F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.Д.Б.16 Теория и методика обучения информатике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.Д.В.Э.1.2 Основы педагогического мастерства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715E18" w:rsidRDefault="00715E18" w:rsidP="00FB270F">
      <w:pPr>
        <w:pStyle w:val="ReportMain"/>
        <w:suppressAutoHyphens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FB270F" w:rsidRDefault="00FB270F" w:rsidP="00715E1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B270F" w:rsidTr="000E1C1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 xml:space="preserve">енерирует идею, выбирает </w:t>
            </w:r>
            <w:r>
              <w:lastRenderedPageBreak/>
              <w:t>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сотрудничества и реализации своей роли в </w:t>
            </w:r>
            <w:r>
              <w:lastRenderedPageBreak/>
              <w:t>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</w:p>
        </w:tc>
      </w:tr>
    </w:tbl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5D6578" w:rsidRDefault="005D6578" w:rsidP="00B36903">
      <w:pPr>
        <w:pStyle w:val="ReportMain"/>
        <w:suppressAutoHyphens/>
        <w:ind w:firstLine="709"/>
        <w:jc w:val="both"/>
      </w:pPr>
    </w:p>
    <w:tbl>
      <w:tblPr>
        <w:tblW w:w="11508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76"/>
        <w:gridCol w:w="1416"/>
        <w:gridCol w:w="1416"/>
      </w:tblGrid>
      <w:tr w:rsidR="005D6578" w:rsidTr="005D6578">
        <w:trPr>
          <w:tblHeader/>
        </w:trPr>
        <w:tc>
          <w:tcPr>
            <w:tcW w:w="8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D6578" w:rsidTr="005D6578">
        <w:trPr>
          <w:tblHeader/>
        </w:trPr>
        <w:tc>
          <w:tcPr>
            <w:tcW w:w="8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  <w:proofErr w:type="gramStart"/>
            <w:r>
              <w:rPr>
                <w:rFonts w:eastAsia="Times New Roman"/>
                <w:i/>
              </w:rPr>
              <w:t>- самоподготовка (проработка и повторение лекционного материала и материала учебников и учебных пособи</w:t>
            </w:r>
            <w:proofErr w:type="gramEnd"/>
          </w:p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B36903">
      <w:pPr>
        <w:pStyle w:val="ReportMain"/>
        <w:suppressAutoHyphens/>
        <w:ind w:firstLine="709"/>
        <w:jc w:val="both"/>
      </w:pPr>
    </w:p>
    <w:p w:rsidR="00B36903" w:rsidRDefault="00B36903" w:rsidP="00B36903">
      <w:pPr>
        <w:pStyle w:val="ReportMain"/>
        <w:suppressAutoHyphens/>
        <w:ind w:firstLine="709"/>
        <w:jc w:val="both"/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282FFF">
        <w:pPr>
          <w:pStyle w:val="a7"/>
          <w:jc w:val="center"/>
        </w:pPr>
        <w:fldSimple w:instr="PAGE   \* MERGEFORMAT">
          <w:r w:rsidR="005D6578">
            <w:rPr>
              <w:noProof/>
            </w:rPr>
            <w:t>1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2FFF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A3F34"/>
    <w:rsid w:val="005B4732"/>
    <w:rsid w:val="005C1493"/>
    <w:rsid w:val="005D4EC5"/>
    <w:rsid w:val="005D6578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382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20ABB"/>
    <w:rsid w:val="00A42528"/>
    <w:rsid w:val="00A628A9"/>
    <w:rsid w:val="00A72F9C"/>
    <w:rsid w:val="00A73AA6"/>
    <w:rsid w:val="00A91AD6"/>
    <w:rsid w:val="00A9504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B270F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8DC7-5F48-46F9-88BA-FB22508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29</Pages>
  <Words>8742</Words>
  <Characters>49834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2019-11-10T15:14:00Z</dcterms:modified>
</cp:coreProperties>
</file>