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C10462" w:rsidRDefault="00C10462" w:rsidP="00C10462">
      <w:pPr>
        <w:pStyle w:val="ReportHead"/>
        <w:suppressAutoHyphens/>
        <w:ind w:firstLine="851"/>
        <w:contextualSpacing/>
        <w:rPr>
          <w:i/>
          <w:u w:val="single"/>
        </w:rPr>
      </w:pPr>
      <w:r w:rsidRPr="00FD4A2E">
        <w:rPr>
          <w:i/>
          <w:u w:val="single"/>
        </w:rPr>
        <w:t>Дошкольное образование</w:t>
      </w:r>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E510F">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0" w:name="_Toc536781188"/>
    </w:p>
    <w:p w:rsidR="00566710" w:rsidRDefault="00566710" w:rsidP="00566710">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proofErr w:type="gramStart"/>
      <w:r w:rsidRPr="000013EF">
        <w:rPr>
          <w:sz w:val="28"/>
          <w:szCs w:val="28"/>
        </w:rPr>
        <w:t>а) масса  - 100 г  длина - 40 см, диаметр - 8 см</w:t>
      </w:r>
      <w:r>
        <w:rPr>
          <w:sz w:val="28"/>
          <w:szCs w:val="28"/>
        </w:rPr>
        <w:t>.</w:t>
      </w:r>
      <w:r w:rsidRPr="000013EF">
        <w:rPr>
          <w:sz w:val="28"/>
          <w:szCs w:val="28"/>
        </w:rPr>
        <w:t xml:space="preserve">; </w:t>
      </w:r>
      <w:proofErr w:type="gramEnd"/>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bookmarkStart w:id="2" w:name="_GoBack"/>
      <w:bookmarkEnd w:id="2"/>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566710">
      <w:rPr>
        <w:noProof/>
      </w:rPr>
      <w:t>19</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7852-A949-48C4-A883-5A4CB51D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2019-11-09T15:20:00Z</dcterms:created>
  <dcterms:modified xsi:type="dcterms:W3CDTF">2019-12-01T15:50:00Z</dcterms:modified>
</cp:coreProperties>
</file>