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4968D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B46635">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6945D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w:t>
      </w:r>
      <w:r w:rsidR="006945DA">
        <w:rPr>
          <w:rFonts w:ascii="Times New Roman" w:eastAsia="Calibri" w:hAnsi="Times New Roman" w:cs="Times New Roman"/>
          <w:sz w:val="24"/>
          <w:szCs w:val="24"/>
          <w:u w:val="single"/>
        </w:rPr>
        <w:t>2</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r w:rsidR="006945DA" w:rsidRPr="006945DA">
        <w:t xml:space="preserve"> </w:t>
      </w:r>
      <w:r w:rsidR="006945DA" w:rsidRPr="006945DA">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rPr>
          <w:tblHeader/>
        </w:trPr>
        <w:tc>
          <w:tcPr>
            <w:tcW w:w="1838" w:type="dxa"/>
            <w:shd w:val="clear" w:color="auto" w:fill="auto"/>
            <w:vAlign w:val="center"/>
          </w:tcPr>
          <w:p w:rsidR="00EE224E" w:rsidRPr="00EE224E" w:rsidRDefault="006945DA" w:rsidP="00EE224E">
            <w:pPr>
              <w:suppressAutoHyphens/>
              <w:spacing w:after="0" w:line="240" w:lineRule="auto"/>
              <w:jc w:val="center"/>
              <w:rPr>
                <w:rFonts w:ascii="Times New Roman" w:eastAsia="Calibri" w:hAnsi="Times New Roman" w:cs="Times New Roman"/>
                <w:sz w:val="24"/>
              </w:rPr>
            </w:pPr>
            <w:r w:rsidRPr="006945DA">
              <w:rPr>
                <w:rFonts w:ascii="Times New Roman" w:eastAsia="Calibri" w:hAnsi="Times New Roman" w:cs="Times New Roman"/>
                <w:sz w:val="24"/>
              </w:rPr>
              <w:t>Формируемые компетенции</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w:t>
            </w:r>
            <w:r w:rsidRPr="00EE224E">
              <w:rPr>
                <w:rFonts w:ascii="Times New Roman" w:eastAsia="Calibri" w:hAnsi="Times New Roman" w:cs="Times New Roman"/>
                <w:sz w:val="24"/>
              </w:rPr>
              <w:lastRenderedPageBreak/>
              <w:t>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различные правовые явления, юридические </w:t>
            </w:r>
            <w:r w:rsidRPr="00EE224E">
              <w:rPr>
                <w:rFonts w:ascii="Times New Roman" w:eastAsia="Calibri" w:hAnsi="Times New Roman" w:cs="Times New Roman"/>
                <w:sz w:val="24"/>
              </w:rPr>
              <w:lastRenderedPageBreak/>
              <w:t>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оптимальные способы </w:t>
            </w:r>
            <w:r w:rsidRPr="00EE224E">
              <w:rPr>
                <w:rFonts w:ascii="Times New Roman" w:eastAsia="Calibri" w:hAnsi="Times New Roman" w:cs="Times New Roman"/>
                <w:sz w:val="24"/>
              </w:rPr>
              <w:lastRenderedPageBreak/>
              <w:t>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принципы, виды, формы и методы финансового контроля, полномочия 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lastRenderedPageBreak/>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6945DA" w:rsidRPr="006945DA">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w:t>
      </w:r>
      <w:r w:rsidRPr="00844869">
        <w:rPr>
          <w:rFonts w:ascii="Times New Roman" w:eastAsia="Times New Roman" w:hAnsi="Times New Roman" w:cs="Times New Roman"/>
          <w:sz w:val="24"/>
          <w:szCs w:val="24"/>
        </w:rPr>
        <w:lastRenderedPageBreak/>
        <w:t xml:space="preserve">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w:t>
      </w:r>
      <w:r w:rsidRPr="00D3181F">
        <w:rPr>
          <w:rFonts w:ascii="Times New Roman" w:eastAsia="Times New Roman" w:hAnsi="Times New Roman" w:cs="Times New Roman"/>
          <w:sz w:val="24"/>
          <w:szCs w:val="24"/>
        </w:rPr>
        <w:lastRenderedPageBreak/>
        <w:t>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r w:rsidRPr="00D3181F">
        <w:rPr>
          <w:rFonts w:ascii="Times New Roman" w:eastAsia="Times New Roman" w:hAnsi="Times New Roman" w:cs="Times New Roman"/>
          <w:sz w:val="24"/>
          <w:szCs w:val="24"/>
        </w:rPr>
        <w:lastRenderedPageBreak/>
        <w:t>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w:t>
      </w:r>
      <w:r w:rsidRPr="00D3181F">
        <w:rPr>
          <w:rFonts w:ascii="Times New Roman" w:eastAsia="Times New Roman" w:hAnsi="Times New Roman" w:cs="Times New Roman"/>
          <w:sz w:val="24"/>
          <w:szCs w:val="24"/>
        </w:rPr>
        <w:lastRenderedPageBreak/>
        <w:t>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w:t>
            </w:r>
            <w:r w:rsidRPr="00D3181F">
              <w:rPr>
                <w:rFonts w:eastAsia="Calibri"/>
                <w:sz w:val="24"/>
                <w:szCs w:val="24"/>
                <w:lang w:eastAsia="en-US"/>
              </w:rPr>
              <w:lastRenderedPageBreak/>
              <w:t xml:space="preserve">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lastRenderedPageBreak/>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w:t>
            </w:r>
            <w:r w:rsidRPr="00E26552">
              <w:rPr>
                <w:sz w:val="24"/>
                <w:szCs w:val="24"/>
              </w:rPr>
              <w:lastRenderedPageBreak/>
              <w:t>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 xml:space="preserve">4. Результативность и полнота проведенного </w:t>
            </w:r>
            <w:r>
              <w:rPr>
                <w:sz w:val="24"/>
                <w:szCs w:val="24"/>
              </w:rPr>
              <w:lastRenderedPageBreak/>
              <w:t>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w:t>
            </w:r>
            <w:r w:rsidRPr="00D3181F">
              <w:rPr>
                <w:rFonts w:eastAsia="Calibri"/>
                <w:sz w:val="24"/>
                <w:szCs w:val="24"/>
                <w:lang w:eastAsia="en-US"/>
              </w:rPr>
              <w:lastRenderedPageBreak/>
              <w:t>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51" w:rsidRDefault="00343F51" w:rsidP="00A13401">
      <w:pPr>
        <w:spacing w:after="0" w:line="240" w:lineRule="auto"/>
      </w:pPr>
      <w:r>
        <w:separator/>
      </w:r>
    </w:p>
  </w:endnote>
  <w:endnote w:type="continuationSeparator" w:id="0">
    <w:p w:rsidR="00343F51" w:rsidRDefault="00343F5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51" w:rsidRDefault="00343F51" w:rsidP="00A13401">
      <w:pPr>
        <w:spacing w:after="0" w:line="240" w:lineRule="auto"/>
      </w:pPr>
      <w:r>
        <w:separator/>
      </w:r>
    </w:p>
  </w:footnote>
  <w:footnote w:type="continuationSeparator" w:id="0">
    <w:p w:rsidR="00343F51" w:rsidRDefault="00343F5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43F51"/>
    <w:rsid w:val="00391F5B"/>
    <w:rsid w:val="003E0AFF"/>
    <w:rsid w:val="003F1976"/>
    <w:rsid w:val="00400405"/>
    <w:rsid w:val="00411A49"/>
    <w:rsid w:val="004140F5"/>
    <w:rsid w:val="00460093"/>
    <w:rsid w:val="00471FF2"/>
    <w:rsid w:val="00473706"/>
    <w:rsid w:val="00490CBA"/>
    <w:rsid w:val="00491DCD"/>
    <w:rsid w:val="00495A3E"/>
    <w:rsid w:val="004968D2"/>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945DA"/>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E1D7B"/>
    <w:rsid w:val="007F1A55"/>
    <w:rsid w:val="007F4BB0"/>
    <w:rsid w:val="00844869"/>
    <w:rsid w:val="00847513"/>
    <w:rsid w:val="00861B62"/>
    <w:rsid w:val="00864DE6"/>
    <w:rsid w:val="00872001"/>
    <w:rsid w:val="00895784"/>
    <w:rsid w:val="00897E7A"/>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29AE-EE35-4047-B8D9-95C98F24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18824</Words>
  <Characters>107299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2019-11-27T04:36:00Z</cp:lastPrinted>
  <dcterms:created xsi:type="dcterms:W3CDTF">2022-03-26T06:46:00Z</dcterms:created>
  <dcterms:modified xsi:type="dcterms:W3CDTF">2022-03-26T06:47:00Z</dcterms:modified>
</cp:coreProperties>
</file>