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Default="00023B86" w:rsidP="00023B8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23B86" w:rsidRDefault="00023B86" w:rsidP="00023B86">
      <w:pPr>
        <w:pStyle w:val="ReportHead"/>
        <w:suppressAutoHyphens/>
        <w:spacing w:line="360" w:lineRule="auto"/>
      </w:pPr>
      <w:r>
        <w:t>БАКАЛАВРИАТ</w:t>
      </w:r>
    </w:p>
    <w:p w:rsidR="00023B86" w:rsidRDefault="00023B86" w:rsidP="00023B86">
      <w:pPr>
        <w:pStyle w:val="ReportHead"/>
        <w:suppressAutoHyphens/>
      </w:pPr>
      <w:r>
        <w:t>Направление подготовки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23.03.03 Эксплуатация транспортно-технологических машин и комплексов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u w:val="single"/>
        </w:rPr>
        <w:t>нефтегазодобыча</w:t>
      </w:r>
      <w:proofErr w:type="spellEnd"/>
      <w:r>
        <w:rPr>
          <w:i/>
          <w:u w:val="single"/>
        </w:rPr>
        <w:t>)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</w:pPr>
      <w:r>
        <w:t>Квалификация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23B86" w:rsidRDefault="00023B86" w:rsidP="00023B86">
      <w:pPr>
        <w:pStyle w:val="ReportHead"/>
        <w:suppressAutoHyphens/>
        <w:spacing w:before="120"/>
      </w:pPr>
      <w:r>
        <w:t>Форма обучения</w:t>
      </w:r>
    </w:p>
    <w:p w:rsidR="009E128E" w:rsidRDefault="009E128E" w:rsidP="009E128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9F49C6">
        <w:t>2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41853" w:rsidRPr="003616D9" w:rsidTr="0099157B">
        <w:tc>
          <w:tcPr>
            <w:tcW w:w="1843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</w:pPr>
            <w:r w:rsidRPr="003616D9">
              <w:t>УК-10-В-1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3616D9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3616D9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41853" w:rsidRDefault="00C41853" w:rsidP="00023B86">
            <w:pPr>
              <w:pStyle w:val="ReportMain"/>
              <w:suppressAutoHyphens/>
            </w:pPr>
            <w:r w:rsidRPr="003616D9">
              <w:t>УК-10-В-2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 w:rsidRPr="003616D9">
              <w:t>УК-10-В-3</w:t>
            </w:r>
            <w:proofErr w:type="gramStart"/>
            <w:r w:rsidRPr="003616D9">
              <w:t xml:space="preserve"> П</w:t>
            </w:r>
            <w:proofErr w:type="gramEnd"/>
            <w:r w:rsidRPr="003616D9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3616D9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41853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41853" w:rsidRPr="003616D9" w:rsidRDefault="00C41853" w:rsidP="002527D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3534" w:rsidRPr="003616D9" w:rsidTr="0099157B">
        <w:tc>
          <w:tcPr>
            <w:tcW w:w="1843" w:type="dxa"/>
            <w:vMerge w:val="restart"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473534" w:rsidRPr="00FC25D9" w:rsidRDefault="00473534" w:rsidP="00E36B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</w:t>
            </w:r>
            <w:r>
              <w:lastRenderedPageBreak/>
              <w:t>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  <w:r w:rsidRPr="00FC25D9">
              <w:lastRenderedPageBreak/>
              <w:t>ОПК-2-В-2</w:t>
            </w:r>
            <w:proofErr w:type="gramStart"/>
            <w:r w:rsidRPr="00FC25D9">
              <w:t xml:space="preserve"> П</w:t>
            </w:r>
            <w:proofErr w:type="gramEnd"/>
            <w:r w:rsidRPr="00FC25D9">
              <w:t xml:space="preserve">ринимает обоснованные организационные и технологические решения </w:t>
            </w:r>
            <w:r w:rsidRPr="00FC25D9">
              <w:lastRenderedPageBreak/>
              <w:t>на всех этапах жизненного цикла транспортно-технологических машин и комплексов с учетом экономических ограничений</w:t>
            </w: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lastRenderedPageBreak/>
              <w:t>Знать:</w:t>
            </w:r>
            <w:r>
              <w:t xml:space="preserve"> основные понятия, категории и методы для осуществления профессиональной </w:t>
            </w:r>
            <w:r>
              <w:lastRenderedPageBreak/>
              <w:t>деятельности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473534" w:rsidRPr="003616D9" w:rsidRDefault="00473534" w:rsidP="002527D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принимать обоснованные организационные и технические решения на всех этапах жизненного цикла транспортно-технологических машин и комплексов с учетом экономических ограничений.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методами и приемами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F49C6" w:rsidRPr="00BF7308" w:rsidRDefault="009F49C6" w:rsidP="009F49C6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заявленную государством цену;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кредитные.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Иван Иванович Иванов;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цена растет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применение в производстве новых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 xml:space="preserve">г) постиндустриального развития всех стран мира;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9F49C6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lastRenderedPageBreak/>
        <w:t>синтез.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9F49C6" w:rsidRPr="00BA4DCE" w:rsidRDefault="009F49C6" w:rsidP="009F49C6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9F49C6" w:rsidRDefault="009F49C6" w:rsidP="009F49C6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9F49C6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в) лицензирование хозяйственной деятельности;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9F49C6" w:rsidRPr="001A31B1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9F49C6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9F49C6" w:rsidRPr="001A31B1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г) из каждого дополнительного рубля взимается меньшая часть с ростом доходов.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9F49C6" w:rsidRPr="003F1C21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9F49C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б) операции на открытом рынке с государственными облигациями;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9F49C6" w:rsidRPr="003F1C21" w:rsidRDefault="009F49C6" w:rsidP="009F49C6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9F49C6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9F49C6" w:rsidRPr="00A633CA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личной ответственности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9F49C6" w:rsidRPr="001428F9" w:rsidRDefault="009F49C6" w:rsidP="009F49C6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9F49C6" w:rsidRPr="00BF6BCD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9F49C6" w:rsidRPr="0014361D" w:rsidRDefault="009F49C6" w:rsidP="009F49C6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9F49C6" w:rsidRPr="0014361D" w:rsidRDefault="009F49C6" w:rsidP="009F49C6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зависит от конкретной ситуации.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пригодность;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Характеристика экономического роста в экономике.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материальных и духовных благ, необходимых для существования и развития ч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производ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удовл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</w:t>
      </w:r>
      <w:r w:rsidR="00C41853" w:rsidRPr="00063CC1">
        <w:rPr>
          <w:sz w:val="24"/>
          <w:szCs w:val="24"/>
        </w:rPr>
        <w:lastRenderedPageBreak/>
        <w:t>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lastRenderedPageBreak/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9F49C6" w:rsidRPr="00063CC1" w:rsidRDefault="009F49C6" w:rsidP="009F49C6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9F49C6" w:rsidRPr="001428F9" w:rsidRDefault="009F49C6" w:rsidP="009F49C6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9" w:name="_GoBack"/>
      <w:bookmarkEnd w:id="9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9F49C6" w:rsidRPr="005B1995" w:rsidRDefault="009F49C6" w:rsidP="009F49C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lastRenderedPageBreak/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527D0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D7A93"/>
    <w:rsid w:val="00230842"/>
    <w:rsid w:val="002527D0"/>
    <w:rsid w:val="003B0627"/>
    <w:rsid w:val="004415E7"/>
    <w:rsid w:val="00442755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9E128E"/>
    <w:rsid w:val="009F49C6"/>
    <w:rsid w:val="00A90CBF"/>
    <w:rsid w:val="00AA782B"/>
    <w:rsid w:val="00B322A4"/>
    <w:rsid w:val="00B36DD7"/>
    <w:rsid w:val="00B40CAA"/>
    <w:rsid w:val="00BF7308"/>
    <w:rsid w:val="00C10250"/>
    <w:rsid w:val="00C276FA"/>
    <w:rsid w:val="00C41853"/>
    <w:rsid w:val="00D97DAC"/>
    <w:rsid w:val="00DC3BDA"/>
    <w:rsid w:val="00E36B77"/>
    <w:rsid w:val="00EB3B0B"/>
    <w:rsid w:val="00EE5E92"/>
    <w:rsid w:val="00EF5DC4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31F1-4685-4563-ADD9-B04A079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14388</Words>
  <Characters>82017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5</cp:revision>
  <dcterms:created xsi:type="dcterms:W3CDTF">2022-03-03T15:15:00Z</dcterms:created>
  <dcterms:modified xsi:type="dcterms:W3CDTF">2022-03-03T15:27:00Z</dcterms:modified>
</cp:coreProperties>
</file>