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8960D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россии</w:t>
      </w:r>
      <w:proofErr w:type="spellEnd"/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F52DC4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74212B" w:rsidRPr="0074212B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36E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DC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</w:rPr>
        <w:lastRenderedPageBreak/>
        <w:t>Фонд оценочных сре</w:t>
      </w:r>
      <w:proofErr w:type="gramStart"/>
      <w:r w:rsidRPr="00F35857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F35857">
        <w:rPr>
          <w:rFonts w:ascii="Times New Roman" w:eastAsia="Calibri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35857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  <w:r w:rsidRPr="00F35857">
        <w:rPr>
          <w:rFonts w:ascii="Times New Roman" w:eastAsia="Calibri" w:hAnsi="Times New Roman" w:cs="Times New Roman"/>
          <w:sz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</w:rPr>
        <w:t>«Русский язык и культура речи».</w:t>
      </w:r>
    </w:p>
    <w:p w:rsidR="00F35857" w:rsidRPr="00F35857" w:rsidRDefault="00F35857" w:rsidP="00F3585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протокол № ____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6</w:t>
      </w:r>
      <w:r w:rsidRPr="00F35857">
        <w:rPr>
          <w:rFonts w:ascii="Times New Roman" w:eastAsia="Calibri" w:hAnsi="Times New Roman" w:cs="Times New Roman"/>
          <w:sz w:val="24"/>
        </w:rPr>
        <w:t>____от "__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2</w:t>
      </w:r>
      <w:r w:rsidR="00F52DC4" w:rsidRPr="00F52DC4">
        <w:rPr>
          <w:rFonts w:ascii="Times New Roman" w:eastAsia="Calibri" w:hAnsi="Times New Roman" w:cs="Times New Roman"/>
          <w:sz w:val="24"/>
          <w:u w:val="single"/>
        </w:rPr>
        <w:t>9</w:t>
      </w:r>
      <w:r w:rsidRPr="00F35857">
        <w:rPr>
          <w:rFonts w:ascii="Times New Roman" w:eastAsia="Calibri" w:hAnsi="Times New Roman" w:cs="Times New Roman"/>
          <w:sz w:val="24"/>
        </w:rPr>
        <w:t>_" _____</w:t>
      </w:r>
      <w:r w:rsidRPr="00F52DC4">
        <w:rPr>
          <w:rFonts w:ascii="Times New Roman" w:eastAsia="Calibri" w:hAnsi="Times New Roman" w:cs="Times New Roman"/>
          <w:sz w:val="24"/>
          <w:u w:val="single"/>
        </w:rPr>
        <w:t>01</w:t>
      </w:r>
      <w:r w:rsidRPr="00F35857">
        <w:rPr>
          <w:rFonts w:ascii="Times New Roman" w:eastAsia="Calibri" w:hAnsi="Times New Roman" w:cs="Times New Roman"/>
          <w:sz w:val="24"/>
        </w:rPr>
        <w:t xml:space="preserve">_____ </w:t>
      </w:r>
      <w:bookmarkStart w:id="1" w:name="_GoBack"/>
      <w:r w:rsidRPr="00F52DC4">
        <w:rPr>
          <w:rFonts w:ascii="Times New Roman" w:eastAsia="Calibri" w:hAnsi="Times New Roman" w:cs="Times New Roman"/>
          <w:sz w:val="24"/>
          <w:u w:val="single"/>
        </w:rPr>
        <w:t>202</w:t>
      </w:r>
      <w:r w:rsidR="00F52DC4" w:rsidRPr="00F52DC4">
        <w:rPr>
          <w:rFonts w:ascii="Times New Roman" w:eastAsia="Calibri" w:hAnsi="Times New Roman" w:cs="Times New Roman"/>
          <w:sz w:val="24"/>
          <w:u w:val="single"/>
        </w:rPr>
        <w:t>1</w:t>
      </w:r>
      <w:r w:rsidRPr="00F52DC4">
        <w:rPr>
          <w:rFonts w:ascii="Times New Roman" w:eastAsia="Calibri" w:hAnsi="Times New Roman" w:cs="Times New Roman"/>
          <w:sz w:val="24"/>
          <w:u w:val="single"/>
        </w:rPr>
        <w:t xml:space="preserve"> г.</w:t>
      </w:r>
      <w:bookmarkEnd w:id="1"/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Заведующий кафедрой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Л.А. Омельяненко</w:t>
      </w: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35857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F35857" w:rsidRPr="00F35857" w:rsidRDefault="00F35857" w:rsidP="00F35857">
      <w:pPr>
        <w:tabs>
          <w:tab w:val="left" w:pos="6495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</w:rPr>
        <w:t>доцент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О.Н. Григорьева</w:t>
      </w:r>
      <w:r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35857" w:rsidRPr="00F35857" w:rsidTr="00CA76CA">
        <w:tc>
          <w:tcPr>
            <w:tcW w:w="10148" w:type="dxa"/>
            <w:shd w:val="clear" w:color="auto" w:fill="auto"/>
          </w:tcPr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eastAsia="Calibri" w:hAnsi="Times New Roman" w:cs="Times New Roman"/>
                <w:sz w:val="24"/>
              </w:rPr>
              <w:t>от кафедры</w:t>
            </w: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7260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</w:t>
            </w: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423325" w:rsidRDefault="00423325" w:rsidP="00336E4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</w:t>
      </w:r>
      <w:r>
        <w:rPr>
          <w:b/>
          <w:sz w:val="28"/>
        </w:rPr>
        <w:t>о</w:t>
      </w:r>
      <w:r>
        <w:rPr>
          <w:b/>
          <w:sz w:val="28"/>
        </w:rPr>
        <w:t>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lastRenderedPageBreak/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могут быть по его требованию переведены на 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336E4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BB" w:rsidRDefault="00AB56BB" w:rsidP="00B24C3E">
      <w:pPr>
        <w:spacing w:after="0" w:line="240" w:lineRule="auto"/>
      </w:pPr>
      <w:r>
        <w:separator/>
      </w:r>
    </w:p>
  </w:endnote>
  <w:endnote w:type="continuationSeparator" w:id="0">
    <w:p w:rsidR="00AB56BB" w:rsidRDefault="00AB56B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2DC4">
      <w:rPr>
        <w:rStyle w:val="a7"/>
        <w:noProof/>
      </w:rPr>
      <w:t>2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BB" w:rsidRDefault="00AB56BB" w:rsidP="00B24C3E">
      <w:pPr>
        <w:spacing w:after="0" w:line="240" w:lineRule="auto"/>
      </w:pPr>
      <w:r>
        <w:separator/>
      </w:r>
    </w:p>
  </w:footnote>
  <w:footnote w:type="continuationSeparator" w:id="0">
    <w:p w:rsidR="00AB56BB" w:rsidRDefault="00AB56B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81CE9"/>
    <w:rsid w:val="002A06EF"/>
    <w:rsid w:val="002C36E6"/>
    <w:rsid w:val="002E2C17"/>
    <w:rsid w:val="00331E42"/>
    <w:rsid w:val="003324C8"/>
    <w:rsid w:val="00336E41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A3CC6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D4D2A"/>
    <w:rsid w:val="007E23FA"/>
    <w:rsid w:val="007F5EAD"/>
    <w:rsid w:val="00825924"/>
    <w:rsid w:val="00836182"/>
    <w:rsid w:val="008443CA"/>
    <w:rsid w:val="00856BB7"/>
    <w:rsid w:val="008960DD"/>
    <w:rsid w:val="008F3EFE"/>
    <w:rsid w:val="009013E6"/>
    <w:rsid w:val="00906124"/>
    <w:rsid w:val="00943BBD"/>
    <w:rsid w:val="00974957"/>
    <w:rsid w:val="009A3196"/>
    <w:rsid w:val="009F55EB"/>
    <w:rsid w:val="009F7C75"/>
    <w:rsid w:val="00A12F86"/>
    <w:rsid w:val="00A15AAF"/>
    <w:rsid w:val="00A36389"/>
    <w:rsid w:val="00A57146"/>
    <w:rsid w:val="00A72C92"/>
    <w:rsid w:val="00A75D71"/>
    <w:rsid w:val="00AB56BB"/>
    <w:rsid w:val="00AF4E6F"/>
    <w:rsid w:val="00B13AF4"/>
    <w:rsid w:val="00B24C3E"/>
    <w:rsid w:val="00B53282"/>
    <w:rsid w:val="00B60219"/>
    <w:rsid w:val="00BA5ABB"/>
    <w:rsid w:val="00BE12DB"/>
    <w:rsid w:val="00C16BC8"/>
    <w:rsid w:val="00C217CE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1212D"/>
    <w:rsid w:val="00E24A0B"/>
    <w:rsid w:val="00E34D77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35857"/>
    <w:rsid w:val="00F517A2"/>
    <w:rsid w:val="00F52DC4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C720-B689-45E2-98D1-A882736A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43</Pages>
  <Words>13730</Words>
  <Characters>78262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46</cp:revision>
  <dcterms:created xsi:type="dcterms:W3CDTF">2016-08-25T17:04:00Z</dcterms:created>
  <dcterms:modified xsi:type="dcterms:W3CDTF">2022-03-19T07:52:00Z</dcterms:modified>
</cp:coreProperties>
</file>